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D400" w14:textId="77777777" w:rsidR="002A72C9" w:rsidRPr="00516553" w:rsidRDefault="00B82398" w:rsidP="00305D48">
      <w:pPr>
        <w:pStyle w:val="Heading1"/>
      </w:pPr>
      <w:r w:rsidRPr="00516553">
        <w:t xml:space="preserve">Request for an Individualised ITCH or ITC-SD placement </w:t>
      </w:r>
    </w:p>
    <w:p w14:paraId="57C9E6C1" w14:textId="77777777" w:rsidR="002A72C9" w:rsidRPr="00A87DA4" w:rsidRDefault="002A72C9" w:rsidP="00350794">
      <w:pPr>
        <w:spacing w:after="840"/>
        <w:jc w:val="both"/>
        <w:rPr>
          <w:rFonts w:ascii="Arial" w:hAnsi="Arial" w:cs="Arial"/>
          <w:szCs w:val="22"/>
        </w:rPr>
      </w:pPr>
      <w:r w:rsidRPr="00A87DA4">
        <w:rPr>
          <w:rFonts w:ascii="Arial" w:hAnsi="Arial" w:cs="Arial"/>
          <w:noProof/>
          <w:szCs w:val="22"/>
          <w:lang w:eastAsia="en-AU"/>
        </w:rPr>
        <mc:AlternateContent>
          <mc:Choice Requires="wps">
            <w:drawing>
              <wp:inline distT="0" distB="0" distL="0" distR="0" wp14:anchorId="5CEC5149" wp14:editId="70F750E8">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C3BE00D"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77A66362" w14:textId="77777777" w:rsidR="00BA73E0" w:rsidRPr="00516553" w:rsidRDefault="00B82398" w:rsidP="00350794">
      <w:pPr>
        <w:pStyle w:val="Heading2"/>
      </w:pPr>
      <w:r w:rsidRPr="00516553">
        <w:t xml:space="preserve">Purpose and Process </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6983"/>
      </w:tblGrid>
      <w:tr w:rsidR="00B82398" w:rsidRPr="00D45A75" w14:paraId="68D352E9" w14:textId="77777777" w:rsidTr="00175B3B">
        <w:trPr>
          <w:trHeight w:val="435"/>
        </w:trPr>
        <w:tc>
          <w:tcPr>
            <w:tcW w:w="1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453FAEAC" w14:textId="77777777" w:rsidR="00B82398" w:rsidRPr="00D45A75" w:rsidRDefault="00B82398" w:rsidP="00350794">
            <w:pPr>
              <w:jc w:val="both"/>
              <w:rPr>
                <w:rFonts w:cs="Arial"/>
                <w:b/>
                <w:szCs w:val="22"/>
                <w:lang w:val="en-US"/>
              </w:rPr>
            </w:pPr>
            <w:r w:rsidRPr="00D45A75">
              <w:rPr>
                <w:rFonts w:cs="Arial"/>
                <w:b/>
                <w:szCs w:val="22"/>
                <w:lang w:val="en-US"/>
              </w:rPr>
              <w:t>Purpose</w:t>
            </w:r>
          </w:p>
        </w:tc>
        <w:tc>
          <w:tcPr>
            <w:tcW w:w="6983" w:type="dxa"/>
            <w:tcBorders>
              <w:top w:val="single" w:sz="4" w:space="0" w:color="BFBFBF" w:themeColor="background1" w:themeShade="BF"/>
              <w:left w:val="single" w:sz="2" w:space="0" w:color="FFFFFF" w:themeColor="background1"/>
              <w:bottom w:val="single" w:sz="4" w:space="0" w:color="BFBFBF" w:themeColor="background1" w:themeShade="BF"/>
              <w:right w:val="single" w:sz="2" w:space="0" w:color="FFFFFF" w:themeColor="background1"/>
            </w:tcBorders>
          </w:tcPr>
          <w:p w14:paraId="463A1191" w14:textId="77777777" w:rsidR="00D45A75" w:rsidRPr="00D45A75" w:rsidRDefault="00D45A75" w:rsidP="00350794">
            <w:pPr>
              <w:pStyle w:val="Header"/>
              <w:tabs>
                <w:tab w:val="clear" w:pos="4513"/>
                <w:tab w:val="clear" w:pos="9026"/>
              </w:tabs>
              <w:spacing w:after="160" w:line="259" w:lineRule="auto"/>
              <w:jc w:val="both"/>
              <w:rPr>
                <w:rFonts w:cs="Arial"/>
                <w:szCs w:val="22"/>
              </w:rPr>
            </w:pPr>
            <w:r w:rsidRPr="00D45A75">
              <w:rPr>
                <w:rFonts w:cs="Arial"/>
                <w:szCs w:val="22"/>
              </w:rPr>
              <w:t xml:space="preserve">There are occasions when DCJ or service providers may seek approval for an individualised placement (approving the second bed in the home to be an approved vacancy – a held bed). </w:t>
            </w:r>
          </w:p>
          <w:p w14:paraId="49795A60" w14:textId="77777777" w:rsidR="00D45A75" w:rsidRPr="00D45A75" w:rsidRDefault="00D45A75" w:rsidP="00350794">
            <w:pPr>
              <w:pStyle w:val="Header"/>
              <w:tabs>
                <w:tab w:val="clear" w:pos="4513"/>
                <w:tab w:val="clear" w:pos="9026"/>
              </w:tabs>
              <w:spacing w:after="160" w:line="259" w:lineRule="auto"/>
              <w:jc w:val="both"/>
              <w:rPr>
                <w:rFonts w:cs="Arial"/>
                <w:szCs w:val="22"/>
              </w:rPr>
            </w:pPr>
            <w:r w:rsidRPr="00D45A75">
              <w:rPr>
                <w:rFonts w:cs="Arial"/>
                <w:b/>
                <w:bCs/>
                <w:szCs w:val="22"/>
              </w:rPr>
              <w:t>ITCH and ITC-SD Home service provision is intended to provide support and placements for children in group settings</w:t>
            </w:r>
            <w:r w:rsidRPr="00D45A75">
              <w:rPr>
                <w:rFonts w:cs="Arial"/>
                <w:szCs w:val="22"/>
              </w:rPr>
              <w:t xml:space="preserve">. </w:t>
            </w:r>
          </w:p>
          <w:p w14:paraId="67880922" w14:textId="3772B2F4" w:rsidR="00B82398" w:rsidRPr="00D45A75" w:rsidRDefault="00D45A75" w:rsidP="00350794">
            <w:pPr>
              <w:pStyle w:val="Header"/>
              <w:tabs>
                <w:tab w:val="clear" w:pos="4513"/>
                <w:tab w:val="clear" w:pos="9026"/>
              </w:tabs>
              <w:spacing w:after="160" w:line="259" w:lineRule="auto"/>
              <w:jc w:val="both"/>
              <w:rPr>
                <w:rFonts w:cs="Arial"/>
                <w:szCs w:val="22"/>
              </w:rPr>
            </w:pPr>
            <w:r w:rsidRPr="00D45A75">
              <w:rPr>
                <w:rFonts w:cs="Arial"/>
                <w:szCs w:val="22"/>
              </w:rPr>
              <w:t xml:space="preserve">Approval of individualised ITC placements is limited to </w:t>
            </w:r>
            <w:r w:rsidRPr="00350794">
              <w:rPr>
                <w:rFonts w:cs="Arial"/>
                <w:b/>
                <w:bCs/>
                <w:szCs w:val="22"/>
              </w:rPr>
              <w:t>very specific circumstances</w:t>
            </w:r>
            <w:r w:rsidRPr="00D45A75">
              <w:rPr>
                <w:rFonts w:cs="Arial"/>
                <w:szCs w:val="22"/>
              </w:rPr>
              <w:t xml:space="preserve"> and will be for a limited period of time to enable the young person to be supported, stabilised and then grouped with another young person.</w:t>
            </w:r>
          </w:p>
        </w:tc>
      </w:tr>
      <w:tr w:rsidR="00B82398" w:rsidRPr="00D45A75" w14:paraId="5C451B17" w14:textId="77777777" w:rsidTr="00175B3B">
        <w:trPr>
          <w:trHeight w:val="435"/>
        </w:trPr>
        <w:tc>
          <w:tcPr>
            <w:tcW w:w="1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0E20B4A0" w14:textId="77777777" w:rsidR="00B82398" w:rsidRPr="00D45A75" w:rsidRDefault="00B82398" w:rsidP="005E38C4">
            <w:pPr>
              <w:rPr>
                <w:rFonts w:cs="Arial"/>
                <w:b/>
                <w:szCs w:val="22"/>
                <w:lang w:val="en-US"/>
              </w:rPr>
            </w:pPr>
            <w:r w:rsidRPr="00D45A75">
              <w:rPr>
                <w:rFonts w:cs="Arial"/>
                <w:b/>
                <w:szCs w:val="22"/>
                <w:lang w:val="en-US"/>
              </w:rPr>
              <w:t xml:space="preserve">Circumstances when an </w:t>
            </w:r>
            <w:proofErr w:type="spellStart"/>
            <w:r w:rsidRPr="00D45A75">
              <w:rPr>
                <w:rFonts w:cs="Arial"/>
                <w:b/>
                <w:szCs w:val="22"/>
                <w:lang w:val="en-US"/>
              </w:rPr>
              <w:t>Individualised</w:t>
            </w:r>
            <w:proofErr w:type="spellEnd"/>
            <w:r w:rsidRPr="00D45A75">
              <w:rPr>
                <w:rFonts w:cs="Arial"/>
                <w:b/>
                <w:szCs w:val="22"/>
                <w:lang w:val="en-US"/>
              </w:rPr>
              <w:t xml:space="preserve"> ITC placement may be required for a child or young person for a limited period of time</w:t>
            </w:r>
          </w:p>
        </w:tc>
        <w:tc>
          <w:tcPr>
            <w:tcW w:w="6983" w:type="dxa"/>
            <w:tcBorders>
              <w:top w:val="single" w:sz="4" w:space="0" w:color="BFBFBF" w:themeColor="background1" w:themeShade="BF"/>
              <w:left w:val="single" w:sz="2" w:space="0" w:color="FFFFFF" w:themeColor="background1"/>
              <w:bottom w:val="single" w:sz="2" w:space="0" w:color="A00F2B" w:themeColor="text2" w:themeShade="BF"/>
              <w:right w:val="single" w:sz="2" w:space="0" w:color="FFFFFF" w:themeColor="background1"/>
            </w:tcBorders>
          </w:tcPr>
          <w:p w14:paraId="3FB882A3" w14:textId="77777777" w:rsidR="00D45A75" w:rsidRPr="00D45A75" w:rsidRDefault="00D45A75" w:rsidP="00655D8D">
            <w:pPr>
              <w:pStyle w:val="BodyText"/>
              <w:framePr w:hSpace="0" w:wrap="auto" w:vAnchor="margin" w:xAlign="left" w:yAlign="inline"/>
              <w:numPr>
                <w:ilvl w:val="0"/>
                <w:numId w:val="44"/>
              </w:numPr>
              <w:suppressOverlap w:val="0"/>
            </w:pPr>
            <w:r w:rsidRPr="00D45A75">
              <w:t xml:space="preserve">a professional/clinical assessment identifies risk of sexually harmful behaviour </w:t>
            </w:r>
            <w:r w:rsidRPr="00D45A75">
              <w:rPr>
                <w:u w:val="single"/>
              </w:rPr>
              <w:t xml:space="preserve">that cannot be mitigated </w:t>
            </w:r>
            <w:r w:rsidRPr="00D45A75">
              <w:t>by strategies such as line of sight supervision or matching/grouping with other children with less vulnerabilities;</w:t>
            </w:r>
          </w:p>
          <w:p w14:paraId="24786F86" w14:textId="77777777" w:rsidR="00D45A75" w:rsidRPr="00D45A75" w:rsidRDefault="00D45A75" w:rsidP="00655D8D">
            <w:pPr>
              <w:pStyle w:val="BodyText"/>
              <w:framePr w:hSpace="0" w:wrap="auto" w:vAnchor="margin" w:xAlign="left" w:yAlign="inline"/>
              <w:numPr>
                <w:ilvl w:val="0"/>
                <w:numId w:val="44"/>
              </w:numPr>
              <w:suppressOverlap w:val="0"/>
            </w:pPr>
            <w:r w:rsidRPr="00D45A75">
              <w:t xml:space="preserve">a recent incident identifies the need for a professional/clinical assessment of risk of sexually harmful behaviour and the young person may need to be in an individualised ITC placement until the professional/clinical assessment is undertaken to understand risk and mitigation strategies </w:t>
            </w:r>
          </w:p>
          <w:p w14:paraId="3B5B2605" w14:textId="77777777" w:rsidR="00D45A75" w:rsidRPr="00D45A75" w:rsidRDefault="00D45A75" w:rsidP="00655D8D">
            <w:pPr>
              <w:pStyle w:val="BodyText"/>
              <w:framePr w:hSpace="0" w:wrap="auto" w:vAnchor="margin" w:xAlign="left" w:yAlign="inline"/>
              <w:numPr>
                <w:ilvl w:val="0"/>
                <w:numId w:val="44"/>
              </w:numPr>
              <w:suppressOverlap w:val="0"/>
            </w:pPr>
            <w:r w:rsidRPr="00D45A75">
              <w:t>engages in behaviour/s that are severely distressing to others, for example severe self-harm, frequent faecal smearing;</w:t>
            </w:r>
          </w:p>
          <w:p w14:paraId="054B6A2A" w14:textId="62F79CF7" w:rsidR="00D45A75" w:rsidRPr="00D45A75" w:rsidRDefault="00D45A75" w:rsidP="00655D8D">
            <w:pPr>
              <w:pStyle w:val="BodyText"/>
              <w:framePr w:hSpace="0" w:wrap="auto" w:vAnchor="margin" w:xAlign="left" w:yAlign="inline"/>
              <w:numPr>
                <w:ilvl w:val="0"/>
                <w:numId w:val="44"/>
              </w:numPr>
              <w:suppressOverlap w:val="0"/>
            </w:pPr>
            <w:r w:rsidRPr="00D45A75">
              <w:t xml:space="preserve">a history of indiscriminate and significant violence towards peers that put other residents at high risk; </w:t>
            </w:r>
          </w:p>
          <w:p w14:paraId="3423616D" w14:textId="77777777" w:rsidR="00D45A75" w:rsidRPr="00D45A75" w:rsidRDefault="00D45A75" w:rsidP="00655D8D">
            <w:pPr>
              <w:pStyle w:val="BodyText"/>
              <w:framePr w:hSpace="0" w:wrap="auto" w:vAnchor="margin" w:xAlign="left" w:yAlign="inline"/>
              <w:numPr>
                <w:ilvl w:val="0"/>
                <w:numId w:val="44"/>
              </w:numPr>
              <w:suppressOverlap w:val="0"/>
            </w:pPr>
            <w:r w:rsidRPr="00D45A75">
              <w:t>extreme drug use that has a significant impact on others in the home;</w:t>
            </w:r>
          </w:p>
          <w:p w14:paraId="4C5D70C8" w14:textId="77777777" w:rsidR="00D45A75" w:rsidRPr="00D45A75" w:rsidRDefault="00D45A75" w:rsidP="00655D8D">
            <w:pPr>
              <w:pStyle w:val="BodyText"/>
              <w:framePr w:hSpace="0" w:wrap="auto" w:vAnchor="margin" w:xAlign="left" w:yAlign="inline"/>
              <w:numPr>
                <w:ilvl w:val="0"/>
                <w:numId w:val="44"/>
              </w:numPr>
              <w:suppressOverlap w:val="0"/>
            </w:pPr>
            <w:r w:rsidRPr="00D45A75">
              <w:t>is a victim of sexual exploitation and there is risk of harm/vulnerabilities to others in the home being linked/drawn into that exploitation;</w:t>
            </w:r>
          </w:p>
          <w:p w14:paraId="37BC8EDC" w14:textId="77777777" w:rsidR="00D45A75" w:rsidRPr="00D45A75" w:rsidRDefault="00D45A75" w:rsidP="00655D8D">
            <w:pPr>
              <w:pStyle w:val="BodyText"/>
              <w:framePr w:hSpace="0" w:wrap="auto" w:vAnchor="margin" w:xAlign="left" w:yAlign="inline"/>
              <w:numPr>
                <w:ilvl w:val="0"/>
                <w:numId w:val="44"/>
              </w:numPr>
              <w:suppressOverlap w:val="0"/>
            </w:pPr>
            <w:r w:rsidRPr="00D45A75">
              <w:t>significantly high needs where the young person is pregnant, child protection is involved and there is a combination of risks to either the young person, the unborn child or others in the home;</w:t>
            </w:r>
          </w:p>
          <w:p w14:paraId="1596FBC3" w14:textId="5FEEEE38" w:rsidR="00B82398" w:rsidRPr="00D45A75" w:rsidRDefault="00D45A75" w:rsidP="00655D8D">
            <w:pPr>
              <w:pStyle w:val="BodyText"/>
              <w:framePr w:hSpace="0" w:wrap="auto" w:vAnchor="margin" w:xAlign="left" w:yAlign="inline"/>
              <w:numPr>
                <w:ilvl w:val="0"/>
                <w:numId w:val="44"/>
              </w:numPr>
              <w:suppressOverlap w:val="0"/>
            </w:pPr>
            <w:r w:rsidRPr="00D45A75">
              <w:t>court ordered individualised placement.</w:t>
            </w:r>
          </w:p>
        </w:tc>
      </w:tr>
      <w:tr w:rsidR="00B82398" w:rsidRPr="00D45A75" w14:paraId="66BC1B92" w14:textId="77777777" w:rsidTr="00175B3B">
        <w:trPr>
          <w:trHeight w:val="435"/>
        </w:trPr>
        <w:tc>
          <w:tcPr>
            <w:tcW w:w="1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622D247C" w14:textId="77777777" w:rsidR="00B82398" w:rsidRPr="00D45A75" w:rsidRDefault="00B82398" w:rsidP="00350794">
            <w:pPr>
              <w:spacing w:before="120" w:after="120" w:line="276" w:lineRule="auto"/>
              <w:jc w:val="both"/>
              <w:rPr>
                <w:rFonts w:eastAsia="Arial Unicode MS" w:cs="Arial"/>
                <w:b/>
                <w:bCs/>
                <w:szCs w:val="22"/>
                <w:bdr w:val="none" w:sz="0" w:space="0" w:color="auto" w:frame="1"/>
                <w:lang w:val="en-US"/>
              </w:rPr>
            </w:pPr>
            <w:r w:rsidRPr="00D45A75">
              <w:rPr>
                <w:rFonts w:eastAsia="Arial Unicode MS" w:cs="Arial"/>
                <w:b/>
                <w:bCs/>
                <w:szCs w:val="22"/>
                <w:bdr w:val="none" w:sz="0" w:space="0" w:color="auto" w:frame="1"/>
                <w:lang w:val="en-US"/>
              </w:rPr>
              <w:lastRenderedPageBreak/>
              <w:t>Conditions</w:t>
            </w:r>
          </w:p>
        </w:tc>
        <w:tc>
          <w:tcPr>
            <w:tcW w:w="6983" w:type="dxa"/>
            <w:tcBorders>
              <w:top w:val="single" w:sz="4" w:space="0" w:color="BFBFBF" w:themeColor="background1" w:themeShade="BF"/>
              <w:left w:val="single" w:sz="2" w:space="0" w:color="FFFFFF" w:themeColor="background1"/>
              <w:bottom w:val="single" w:sz="4" w:space="0" w:color="BFBFBF" w:themeColor="background1" w:themeShade="BF"/>
              <w:right w:val="single" w:sz="2" w:space="0" w:color="FFFFFF" w:themeColor="background1"/>
            </w:tcBorders>
          </w:tcPr>
          <w:p w14:paraId="571A118B" w14:textId="77777777" w:rsidR="00D16769" w:rsidRDefault="00D45A75" w:rsidP="00350794">
            <w:pPr>
              <w:jc w:val="both"/>
              <w:rPr>
                <w:rFonts w:cs="Arial"/>
                <w:bCs/>
                <w:szCs w:val="22"/>
              </w:rPr>
            </w:pPr>
            <w:r w:rsidRPr="00D45A75">
              <w:rPr>
                <w:rFonts w:cs="Arial"/>
                <w:bCs/>
                <w:szCs w:val="22"/>
              </w:rPr>
              <w:t xml:space="preserve">Requests for Individualised ITC placements can </w:t>
            </w:r>
            <w:r w:rsidRPr="00D16769">
              <w:rPr>
                <w:rFonts w:cs="Arial"/>
                <w:bCs/>
                <w:szCs w:val="22"/>
                <w:u w:val="single"/>
              </w:rPr>
              <w:t>only</w:t>
            </w:r>
            <w:r w:rsidRPr="00D45A75">
              <w:rPr>
                <w:rFonts w:cs="Arial"/>
                <w:bCs/>
                <w:szCs w:val="22"/>
              </w:rPr>
              <w:t xml:space="preserve"> be considered in 2-bed homes. </w:t>
            </w:r>
          </w:p>
          <w:p w14:paraId="78DD8ECC" w14:textId="38C79E4D" w:rsidR="00B82398" w:rsidRPr="00D45A75" w:rsidRDefault="00D45A75" w:rsidP="00350794">
            <w:pPr>
              <w:jc w:val="both"/>
              <w:rPr>
                <w:rFonts w:cs="Arial"/>
                <w:bCs/>
                <w:szCs w:val="22"/>
              </w:rPr>
            </w:pPr>
            <w:r w:rsidRPr="00D45A75">
              <w:rPr>
                <w:rFonts w:cs="Arial"/>
                <w:bCs/>
                <w:szCs w:val="22"/>
              </w:rPr>
              <w:t xml:space="preserve">The Executive Director, </w:t>
            </w:r>
            <w:r w:rsidR="000A70F0">
              <w:rPr>
                <w:rFonts w:cs="Arial"/>
                <w:bCs/>
                <w:szCs w:val="22"/>
              </w:rPr>
              <w:t xml:space="preserve">overseeing the Central Access Unit, </w:t>
            </w:r>
            <w:r w:rsidRPr="00D45A75">
              <w:rPr>
                <w:rFonts w:cs="Arial"/>
                <w:bCs/>
                <w:szCs w:val="22"/>
              </w:rPr>
              <w:t>is the only delegated DCJ representative able to approve requests for Individualised ITC placements and requests need to be made to the CAU.</w:t>
            </w:r>
          </w:p>
        </w:tc>
      </w:tr>
      <w:tr w:rsidR="00B82398" w:rsidRPr="00D45A75" w14:paraId="5322A0B5" w14:textId="77777777" w:rsidTr="00175B3B">
        <w:trPr>
          <w:trHeight w:val="435"/>
        </w:trPr>
        <w:tc>
          <w:tcPr>
            <w:tcW w:w="1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597AACCB" w14:textId="77777777" w:rsidR="00B82398" w:rsidRPr="00D45A75" w:rsidRDefault="00B82398" w:rsidP="00350794">
            <w:pPr>
              <w:spacing w:before="120" w:after="120" w:line="276" w:lineRule="auto"/>
              <w:jc w:val="both"/>
              <w:rPr>
                <w:rFonts w:eastAsia="Arial Unicode MS" w:cs="Arial"/>
                <w:b/>
                <w:bCs/>
                <w:szCs w:val="22"/>
                <w:bdr w:val="none" w:sz="0" w:space="0" w:color="auto" w:frame="1"/>
                <w:lang w:val="en-US"/>
              </w:rPr>
            </w:pPr>
            <w:r w:rsidRPr="00D45A75">
              <w:rPr>
                <w:rFonts w:eastAsia="Arial Unicode MS" w:cs="Arial"/>
                <w:b/>
                <w:bCs/>
                <w:szCs w:val="22"/>
                <w:bdr w:val="none" w:sz="0" w:space="0" w:color="auto" w:frame="1"/>
                <w:lang w:val="en-US"/>
              </w:rPr>
              <w:t>Timing or trigger</w:t>
            </w:r>
          </w:p>
        </w:tc>
        <w:tc>
          <w:tcPr>
            <w:tcW w:w="6983" w:type="dxa"/>
            <w:tcBorders>
              <w:top w:val="single" w:sz="4" w:space="0" w:color="BFBFBF" w:themeColor="background1" w:themeShade="BF"/>
              <w:left w:val="single" w:sz="2" w:space="0" w:color="FFFFFF" w:themeColor="background1"/>
              <w:bottom w:val="single" w:sz="4" w:space="0" w:color="BFBFBF" w:themeColor="background1" w:themeShade="BF"/>
              <w:right w:val="single" w:sz="2" w:space="0" w:color="FFFFFF" w:themeColor="background1"/>
            </w:tcBorders>
          </w:tcPr>
          <w:p w14:paraId="47032B72" w14:textId="77777777" w:rsidR="00A452F8" w:rsidRPr="00D45A75" w:rsidRDefault="00B82398" w:rsidP="00655D8D">
            <w:pPr>
              <w:pStyle w:val="BodyText"/>
              <w:framePr w:hSpace="0" w:wrap="auto" w:vAnchor="margin" w:xAlign="left" w:yAlign="inline"/>
              <w:numPr>
                <w:ilvl w:val="0"/>
                <w:numId w:val="0"/>
              </w:numPr>
              <w:suppressOverlap w:val="0"/>
            </w:pPr>
            <w:r w:rsidRPr="00D45A75">
              <w:t>The need to establish an indi</w:t>
            </w:r>
            <w:r w:rsidR="00A452F8" w:rsidRPr="00D45A75">
              <w:t>vidualised ITC placement may be</w:t>
            </w:r>
          </w:p>
          <w:p w14:paraId="5243D225" w14:textId="5AF368AA" w:rsidR="00B82398" w:rsidRPr="00D45A75" w:rsidRDefault="00B82398" w:rsidP="00655D8D">
            <w:pPr>
              <w:pStyle w:val="BodyText"/>
              <w:framePr w:hSpace="0" w:wrap="auto" w:vAnchor="margin" w:xAlign="left" w:yAlign="inline"/>
              <w:numPr>
                <w:ilvl w:val="0"/>
                <w:numId w:val="0"/>
              </w:numPr>
              <w:suppressOverlap w:val="0"/>
            </w:pPr>
            <w:r w:rsidRPr="00D45A75">
              <w:t>triggered:</w:t>
            </w:r>
          </w:p>
          <w:p w14:paraId="0EE1AC96" w14:textId="6084EBC3" w:rsidR="00B82398" w:rsidRPr="00D45A75" w:rsidRDefault="00B82398" w:rsidP="00655D8D">
            <w:pPr>
              <w:pStyle w:val="BodyText"/>
              <w:framePr w:hSpace="0" w:wrap="auto" w:vAnchor="margin" w:xAlign="left" w:yAlign="inline"/>
              <w:suppressOverlap w:val="0"/>
            </w:pPr>
            <w:r w:rsidRPr="00D45A75">
              <w:t xml:space="preserve">at the time of an initial placement </w:t>
            </w:r>
            <w:r w:rsidR="005B395F">
              <w:t>commencing</w:t>
            </w:r>
            <w:r w:rsidR="00E65CCF" w:rsidRPr="00D45A75">
              <w:t xml:space="preserve"> </w:t>
            </w:r>
          </w:p>
          <w:p w14:paraId="50407057" w14:textId="77777777" w:rsidR="00B82398" w:rsidRPr="00D45A75" w:rsidRDefault="00B82398" w:rsidP="00655D8D">
            <w:pPr>
              <w:pStyle w:val="BodyText"/>
              <w:framePr w:hSpace="0" w:wrap="auto" w:vAnchor="margin" w:xAlign="left" w:yAlign="inline"/>
              <w:suppressOverlap w:val="0"/>
            </w:pPr>
            <w:r w:rsidRPr="00D45A75">
              <w:t xml:space="preserve">when required due to the child or young person’s circumstances meeting the limited circumstances outlined above </w:t>
            </w:r>
          </w:p>
        </w:tc>
      </w:tr>
      <w:tr w:rsidR="00B82398" w:rsidRPr="00D45A75" w14:paraId="51FF2028" w14:textId="77777777" w:rsidTr="00175B3B">
        <w:trPr>
          <w:trHeight w:val="983"/>
        </w:trPr>
        <w:tc>
          <w:tcPr>
            <w:tcW w:w="1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727C2E32" w14:textId="77777777" w:rsidR="00B82398" w:rsidRPr="00D45A75" w:rsidRDefault="00B82398" w:rsidP="00350794">
            <w:pPr>
              <w:jc w:val="both"/>
              <w:rPr>
                <w:rFonts w:cs="Arial"/>
                <w:b/>
                <w:szCs w:val="22"/>
                <w:lang w:val="en-US"/>
              </w:rPr>
            </w:pPr>
            <w:r w:rsidRPr="00D45A75">
              <w:rPr>
                <w:rFonts w:cs="Arial"/>
                <w:b/>
                <w:szCs w:val="22"/>
                <w:lang w:val="en-US"/>
              </w:rPr>
              <w:t>Requests</w:t>
            </w:r>
          </w:p>
        </w:tc>
        <w:tc>
          <w:tcPr>
            <w:tcW w:w="6983" w:type="dxa"/>
            <w:tcBorders>
              <w:top w:val="single" w:sz="4" w:space="0" w:color="BFBFBF" w:themeColor="background1" w:themeShade="BF"/>
              <w:left w:val="single" w:sz="2" w:space="0" w:color="FFFFFF" w:themeColor="background1"/>
              <w:bottom w:val="single" w:sz="4" w:space="0" w:color="BFBFBF" w:themeColor="background1" w:themeShade="BF"/>
              <w:right w:val="single" w:sz="2" w:space="0" w:color="FFFFFF" w:themeColor="background1"/>
            </w:tcBorders>
          </w:tcPr>
          <w:p w14:paraId="2C7D1963" w14:textId="62A965B2" w:rsidR="00305D48" w:rsidRDefault="00305D48" w:rsidP="00305D48">
            <w:pPr>
              <w:jc w:val="both"/>
              <w:rPr>
                <w:rFonts w:cs="Arial"/>
                <w:szCs w:val="22"/>
              </w:rPr>
            </w:pPr>
            <w:r>
              <w:rPr>
                <w:rFonts w:cs="Arial"/>
                <w:szCs w:val="22"/>
              </w:rPr>
              <w:t xml:space="preserve">ITC Provider should list the matter for discuss at relevant District Panel, seeking an in principle agreement to request an Individualised Placement. </w:t>
            </w:r>
          </w:p>
          <w:p w14:paraId="468D6BB5" w14:textId="77777777" w:rsidR="00305D48" w:rsidRDefault="00305D48" w:rsidP="00305D48">
            <w:pPr>
              <w:jc w:val="both"/>
              <w:rPr>
                <w:rFonts w:cs="Arial"/>
                <w:szCs w:val="22"/>
              </w:rPr>
            </w:pPr>
            <w:r w:rsidRPr="00516553">
              <w:rPr>
                <w:rFonts w:cs="Arial"/>
                <w:szCs w:val="22"/>
              </w:rPr>
              <w:t xml:space="preserve">Requests for Individualised ITC placements and holding the second bed vacant are made to the </w:t>
            </w:r>
            <w:r>
              <w:rPr>
                <w:rFonts w:cs="Arial"/>
                <w:szCs w:val="22"/>
              </w:rPr>
              <w:t>Central Access Unit</w:t>
            </w:r>
            <w:r w:rsidRPr="00516553">
              <w:rPr>
                <w:rFonts w:cs="Arial"/>
                <w:szCs w:val="22"/>
              </w:rPr>
              <w:t>, along with any supporting documentation.</w:t>
            </w:r>
          </w:p>
          <w:p w14:paraId="38400DB2" w14:textId="11D10B40" w:rsidR="00305D48" w:rsidRDefault="00BF3021" w:rsidP="00E535A4">
            <w:pPr>
              <w:jc w:val="both"/>
            </w:pPr>
            <w:r>
              <w:rPr>
                <w:rFonts w:cs="Arial"/>
                <w:szCs w:val="22"/>
              </w:rPr>
              <w:t xml:space="preserve">Service </w:t>
            </w:r>
            <w:r w:rsidR="00305D48">
              <w:rPr>
                <w:rFonts w:cs="Arial"/>
                <w:szCs w:val="22"/>
              </w:rPr>
              <w:t xml:space="preserve">Provider to email </w:t>
            </w:r>
            <w:r w:rsidR="00305D48" w:rsidRPr="000A70F0">
              <w:t xml:space="preserve">the completed </w:t>
            </w:r>
            <w:r w:rsidR="00305D48" w:rsidRPr="000A70F0">
              <w:rPr>
                <w:i/>
                <w:iCs/>
              </w:rPr>
              <w:t>ITC Individualised Placement Request Form</w:t>
            </w:r>
            <w:r w:rsidR="00305D48" w:rsidRPr="000A70F0">
              <w:t xml:space="preserve"> to</w:t>
            </w:r>
            <w:r w:rsidR="00305D48">
              <w:t>:</w:t>
            </w:r>
          </w:p>
          <w:p w14:paraId="62047B12" w14:textId="6577FC20" w:rsidR="00305D48" w:rsidRDefault="009D689D" w:rsidP="00E535A4">
            <w:pPr>
              <w:jc w:val="both"/>
            </w:pPr>
            <w:hyperlink r:id="rId9" w:history="1">
              <w:r w:rsidR="00305D48" w:rsidRPr="00305D48">
                <w:rPr>
                  <w:rStyle w:val="Hyperlink"/>
                </w:rPr>
                <w:t>CAU-triageandemergencycarearrangements@dcj.nsw.gov.au</w:t>
              </w:r>
            </w:hyperlink>
            <w:r w:rsidR="00305D48" w:rsidRPr="000A70F0">
              <w:t xml:space="preserve"> </w:t>
            </w:r>
          </w:p>
          <w:p w14:paraId="242015BC" w14:textId="2995D03B" w:rsidR="00305D48" w:rsidRDefault="00E535A4" w:rsidP="00305D48">
            <w:pPr>
              <w:jc w:val="both"/>
              <w:rPr>
                <w:rFonts w:cs="Arial"/>
                <w:szCs w:val="22"/>
              </w:rPr>
            </w:pPr>
            <w:r>
              <w:t>E</w:t>
            </w:r>
            <w:r w:rsidR="00305D48" w:rsidRPr="000A70F0">
              <w:t>nsuring all required evidence is included. A response will be provided to the requesting service provider, Contract Manager, CFDU and the Child Story record will be updated by CAU.</w:t>
            </w:r>
            <w:r w:rsidR="00305D48">
              <w:t xml:space="preserve"> </w:t>
            </w:r>
          </w:p>
          <w:p w14:paraId="49DD8333" w14:textId="56B3C0D2" w:rsidR="004B59F4" w:rsidRPr="00DF541A" w:rsidRDefault="004B59F4" w:rsidP="00E535A4">
            <w:pPr>
              <w:jc w:val="both"/>
              <w:rPr>
                <w:rFonts w:cs="Arial"/>
                <w:szCs w:val="22"/>
              </w:rPr>
            </w:pPr>
          </w:p>
        </w:tc>
      </w:tr>
      <w:tr w:rsidR="00B82398" w:rsidRPr="00D45A75" w14:paraId="3A74D701" w14:textId="77777777" w:rsidTr="00175B3B">
        <w:trPr>
          <w:trHeight w:val="435"/>
        </w:trPr>
        <w:tc>
          <w:tcPr>
            <w:tcW w:w="1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43817633" w14:textId="77777777" w:rsidR="00B82398" w:rsidRPr="00D45A75" w:rsidRDefault="00B82398" w:rsidP="00350794">
            <w:pPr>
              <w:jc w:val="both"/>
              <w:rPr>
                <w:rFonts w:cs="Arial"/>
                <w:b/>
                <w:szCs w:val="22"/>
                <w:lang w:val="en-US"/>
              </w:rPr>
            </w:pPr>
            <w:r w:rsidRPr="00D45A75">
              <w:rPr>
                <w:rFonts w:cs="Arial"/>
                <w:b/>
                <w:szCs w:val="22"/>
                <w:lang w:val="en-US"/>
              </w:rPr>
              <w:t>Information required</w:t>
            </w:r>
          </w:p>
        </w:tc>
        <w:tc>
          <w:tcPr>
            <w:tcW w:w="6983" w:type="dxa"/>
            <w:tcBorders>
              <w:top w:val="single" w:sz="4" w:space="0" w:color="BFBFBF" w:themeColor="background1" w:themeShade="BF"/>
              <w:left w:val="single" w:sz="2" w:space="0" w:color="FFFFFF" w:themeColor="background1"/>
              <w:bottom w:val="single" w:sz="4" w:space="0" w:color="BFBFBF" w:themeColor="background1" w:themeShade="BF"/>
              <w:right w:val="single" w:sz="2" w:space="0" w:color="FFFFFF" w:themeColor="background1"/>
            </w:tcBorders>
          </w:tcPr>
          <w:p w14:paraId="1A7D53F9" w14:textId="77777777" w:rsidR="00486CA5" w:rsidRDefault="00486CA5" w:rsidP="00350794">
            <w:pPr>
              <w:pStyle w:val="Header"/>
              <w:spacing w:after="160" w:line="259" w:lineRule="auto"/>
              <w:jc w:val="both"/>
              <w:rPr>
                <w:rFonts w:cs="Arial"/>
              </w:rPr>
            </w:pPr>
            <w:r>
              <w:rPr>
                <w:rFonts w:cs="Arial"/>
              </w:rPr>
              <w:t>Documentation to evidence how the child or young person meets one or more of the specific circumstances for seeking an individualised ITC placement and how those risks cannot be mitigated will be required.</w:t>
            </w:r>
          </w:p>
          <w:p w14:paraId="550B454E" w14:textId="77777777" w:rsidR="00486CA5" w:rsidRDefault="00486CA5" w:rsidP="00350794">
            <w:pPr>
              <w:pStyle w:val="Header"/>
              <w:spacing w:after="160" w:line="259" w:lineRule="auto"/>
              <w:jc w:val="both"/>
              <w:rPr>
                <w:rFonts w:cs="Arial"/>
              </w:rPr>
            </w:pPr>
            <w:r>
              <w:rPr>
                <w:rFonts w:cs="Arial"/>
              </w:rPr>
              <w:t>Evidence to demonstrate that the child or young person is receiving appropriate support and interventions to address the behaviours of concern or the plan to provide the required support and interventions will also be required</w:t>
            </w:r>
          </w:p>
          <w:p w14:paraId="2C6EB6FA" w14:textId="77777777" w:rsidR="00486CA5" w:rsidRPr="00CA188B" w:rsidRDefault="00486CA5" w:rsidP="00350794">
            <w:pPr>
              <w:pStyle w:val="Header"/>
              <w:spacing w:after="160" w:line="259" w:lineRule="auto"/>
              <w:jc w:val="both"/>
              <w:rPr>
                <w:rFonts w:cs="Arial"/>
              </w:rPr>
            </w:pPr>
            <w:r>
              <w:rPr>
                <w:rFonts w:cs="Arial"/>
              </w:rPr>
              <w:t>The agency requesting the individualised ITC placement (DCJ or service provider) will need to provide the CAU with</w:t>
            </w:r>
            <w:r w:rsidRPr="00CA188B">
              <w:rPr>
                <w:rFonts w:cs="Arial"/>
              </w:rPr>
              <w:t xml:space="preserve">: </w:t>
            </w:r>
          </w:p>
          <w:p w14:paraId="58DB11A4"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lastRenderedPageBreak/>
              <w:t xml:space="preserve">information about the child or young person’s circumstances </w:t>
            </w:r>
          </w:p>
          <w:p w14:paraId="6740A6B4"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current risk assessments</w:t>
            </w:r>
          </w:p>
          <w:p w14:paraId="36483756"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diagnostic and developmental reports (current working diagnosis)</w:t>
            </w:r>
          </w:p>
          <w:p w14:paraId="0B7F9FF5"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case plan</w:t>
            </w:r>
          </w:p>
          <w:p w14:paraId="3A2838F2"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 xml:space="preserve">behaviour support plan (or equivalent) </w:t>
            </w:r>
          </w:p>
          <w:p w14:paraId="341D6592"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NDIS plan if applicable</w:t>
            </w:r>
          </w:p>
          <w:p w14:paraId="66CE5AB8"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incident summary covering the last 4 weeks</w:t>
            </w:r>
            <w:r>
              <w:rPr>
                <w:rFonts w:cs="Arial"/>
              </w:rPr>
              <w:t>, which includes information about how the service provider has responded therapeutically to support the child and guide the care team</w:t>
            </w:r>
          </w:p>
          <w:p w14:paraId="157B2607"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 xml:space="preserve">any reports and letters from mental health services and details on current interventions </w:t>
            </w:r>
          </w:p>
          <w:p w14:paraId="306EA493"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if any complex needs approvals are in place or requested</w:t>
            </w:r>
          </w:p>
          <w:p w14:paraId="1FAC6090"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sidRPr="00CA188B">
              <w:rPr>
                <w:rFonts w:cs="Arial"/>
              </w:rPr>
              <w:t xml:space="preserve">immediate action plan until step-down plan is developed (and the date by which the step down plan will be developed) </w:t>
            </w:r>
          </w:p>
          <w:p w14:paraId="330140E4" w14:textId="77777777" w:rsidR="00486CA5" w:rsidRPr="00CA188B" w:rsidRDefault="00486CA5" w:rsidP="00350794">
            <w:pPr>
              <w:pStyle w:val="Header"/>
              <w:numPr>
                <w:ilvl w:val="0"/>
                <w:numId w:val="45"/>
              </w:numPr>
              <w:tabs>
                <w:tab w:val="clear" w:pos="4513"/>
                <w:tab w:val="clear" w:pos="9026"/>
              </w:tabs>
              <w:spacing w:after="160" w:line="259" w:lineRule="auto"/>
              <w:jc w:val="both"/>
              <w:rPr>
                <w:rFonts w:cs="Arial"/>
              </w:rPr>
            </w:pPr>
            <w:r>
              <w:rPr>
                <w:rFonts w:cs="Arial"/>
              </w:rPr>
              <w:t xml:space="preserve">an outline of how the care team have provided a therapeutic response in line with 10 essential elements of ITC. Include details of </w:t>
            </w:r>
            <w:r w:rsidRPr="00CA188B">
              <w:rPr>
                <w:rFonts w:cs="Arial"/>
              </w:rPr>
              <w:t>mitigation strategies in place or planned and</w:t>
            </w:r>
            <w:r>
              <w:rPr>
                <w:rFonts w:cs="Arial"/>
              </w:rPr>
              <w:t xml:space="preserve"> timeframes, </w:t>
            </w:r>
            <w:r w:rsidRPr="00CA188B">
              <w:rPr>
                <w:rFonts w:cs="Arial"/>
              </w:rPr>
              <w:t>outline of risks remaining th</w:t>
            </w:r>
            <w:r>
              <w:rPr>
                <w:rFonts w:cs="Arial"/>
              </w:rPr>
              <w:t>at cannot be mitigated in a shared setting, and why</w:t>
            </w:r>
          </w:p>
          <w:p w14:paraId="522336BB" w14:textId="77777777" w:rsidR="00486CA5" w:rsidRPr="00425ED2" w:rsidRDefault="00486CA5" w:rsidP="00350794">
            <w:pPr>
              <w:pStyle w:val="Header"/>
              <w:numPr>
                <w:ilvl w:val="0"/>
                <w:numId w:val="45"/>
              </w:numPr>
              <w:tabs>
                <w:tab w:val="clear" w:pos="4513"/>
                <w:tab w:val="clear" w:pos="9026"/>
              </w:tabs>
              <w:spacing w:after="160" w:line="259" w:lineRule="auto"/>
              <w:jc w:val="both"/>
              <w:rPr>
                <w:rFonts w:cs="Arial"/>
              </w:rPr>
            </w:pPr>
            <w:r w:rsidRPr="004C5D6B">
              <w:rPr>
                <w:rFonts w:cs="Arial"/>
              </w:rPr>
              <w:t>Court orders if applicable</w:t>
            </w:r>
            <w:r>
              <w:rPr>
                <w:rFonts w:cs="Arial"/>
              </w:rPr>
              <w:t>.</w:t>
            </w:r>
          </w:p>
          <w:p w14:paraId="06B91C12" w14:textId="77777777" w:rsidR="00054037" w:rsidRPr="002B143D" w:rsidRDefault="00054037" w:rsidP="00350794">
            <w:pPr>
              <w:pStyle w:val="Heading8"/>
              <w:jc w:val="both"/>
              <w:rPr>
                <w:rFonts w:asciiTheme="minorHAnsi" w:eastAsiaTheme="minorEastAsia" w:hAnsiTheme="minorHAnsi" w:cstheme="minorBidi"/>
                <w:b/>
                <w:i/>
                <w:iCs/>
                <w:sz w:val="22"/>
                <w:szCs w:val="22"/>
              </w:rPr>
            </w:pPr>
            <w:r w:rsidRPr="00516553">
              <w:rPr>
                <w:rFonts w:asciiTheme="minorHAnsi" w:eastAsiaTheme="minorEastAsia" w:hAnsiTheme="minorHAnsi" w:cstheme="minorBidi"/>
                <w:b/>
                <w:bCs/>
                <w:sz w:val="22"/>
                <w:szCs w:val="22"/>
              </w:rPr>
              <w:t>Note</w:t>
            </w:r>
            <w:r w:rsidRPr="00516553">
              <w:rPr>
                <w:rFonts w:asciiTheme="minorHAnsi" w:eastAsiaTheme="minorEastAsia" w:hAnsiTheme="minorHAnsi" w:cstheme="minorBidi"/>
                <w:sz w:val="22"/>
                <w:szCs w:val="22"/>
              </w:rPr>
              <w:t xml:space="preserve">: </w:t>
            </w:r>
            <w:r w:rsidRPr="002B143D">
              <w:rPr>
                <w:rFonts w:asciiTheme="minorHAnsi" w:eastAsiaTheme="minorEastAsia" w:hAnsiTheme="minorHAnsi" w:cstheme="minorBidi"/>
                <w:i/>
                <w:iCs/>
                <w:sz w:val="22"/>
                <w:szCs w:val="22"/>
              </w:rPr>
              <w:t>the action plan outlines what the ITC provider intends to do in the immediate period (up to 7 days) to support stabilisation and step down. This might include identifying what assessments and/or planning are required and what needs to occur to have a second child or young person reside in the home. The service provider may seek further information from the previous agency with case management responsibility for the child to develop this plan.</w:t>
            </w:r>
          </w:p>
          <w:p w14:paraId="7F1A9937" w14:textId="714A24A3" w:rsidR="00B82398" w:rsidRPr="00D45A75" w:rsidRDefault="00B82398" w:rsidP="00350794">
            <w:pPr>
              <w:pStyle w:val="ListParagraph"/>
              <w:spacing w:after="0"/>
              <w:jc w:val="both"/>
              <w:rPr>
                <w:rStyle w:val="CommentReference"/>
                <w:rFonts w:cs="Arial"/>
                <w:sz w:val="22"/>
                <w:szCs w:val="22"/>
              </w:rPr>
            </w:pPr>
            <w:r w:rsidRPr="00D45A75">
              <w:rPr>
                <w:rStyle w:val="CommentReference"/>
                <w:rFonts w:cs="Arial"/>
                <w:sz w:val="22"/>
                <w:szCs w:val="22"/>
              </w:rPr>
              <w:t xml:space="preserve"> </w:t>
            </w:r>
            <w:r w:rsidRPr="00D45A75">
              <w:rPr>
                <w:rFonts w:cs="Arial"/>
                <w:b/>
                <w:i/>
                <w:szCs w:val="22"/>
                <w:highlight w:val="yellow"/>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6983"/>
      </w:tblGrid>
      <w:tr w:rsidR="00D26F92" w:rsidRPr="00D45A75" w14:paraId="01B7D8AB" w14:textId="77777777" w:rsidTr="00684080">
        <w:trPr>
          <w:trHeight w:val="435"/>
        </w:trPr>
        <w:tc>
          <w:tcPr>
            <w:tcW w:w="1987" w:type="dxa"/>
            <w:tcBorders>
              <w:top w:val="single" w:sz="2" w:space="0" w:color="FFFFFF"/>
              <w:left w:val="single" w:sz="2" w:space="0" w:color="FFFFFF"/>
              <w:bottom w:val="single" w:sz="2" w:space="0" w:color="FFFFFF"/>
              <w:right w:val="single" w:sz="2" w:space="0" w:color="FFFFFF"/>
            </w:tcBorders>
            <w:shd w:val="clear" w:color="auto" w:fill="D9D9D9"/>
            <w:vAlign w:val="center"/>
          </w:tcPr>
          <w:p w14:paraId="2F691D4D" w14:textId="77777777" w:rsidR="00D26F92" w:rsidRPr="00D45A75" w:rsidRDefault="00175B3B" w:rsidP="005E38C4">
            <w:pPr>
              <w:spacing w:after="160" w:line="259" w:lineRule="auto"/>
              <w:rPr>
                <w:rFonts w:eastAsia="Calibri" w:cs="Arial"/>
                <w:b/>
                <w:color w:val="auto"/>
                <w:szCs w:val="22"/>
                <w:lang w:val="en-US" w:eastAsia="en-AU"/>
              </w:rPr>
            </w:pPr>
            <w:r w:rsidRPr="00D45A75">
              <w:rPr>
                <w:rFonts w:cs="Arial"/>
                <w:szCs w:val="22"/>
              </w:rPr>
              <w:lastRenderedPageBreak/>
              <w:br w:type="textWrapping" w:clear="all"/>
            </w:r>
            <w:r w:rsidR="00D26F92" w:rsidRPr="00D45A75">
              <w:rPr>
                <w:rFonts w:eastAsia="Calibri" w:cs="Arial"/>
                <w:b/>
                <w:color w:val="auto"/>
                <w:szCs w:val="22"/>
                <w:lang w:val="en-US" w:eastAsia="en-AU"/>
              </w:rPr>
              <w:t xml:space="preserve">Review and monitoring </w:t>
            </w:r>
          </w:p>
        </w:tc>
        <w:tc>
          <w:tcPr>
            <w:tcW w:w="6983" w:type="dxa"/>
            <w:tcBorders>
              <w:top w:val="single" w:sz="4" w:space="0" w:color="BFBFBF"/>
              <w:left w:val="single" w:sz="2" w:space="0" w:color="FFFFFF"/>
              <w:bottom w:val="single" w:sz="4" w:space="0" w:color="BFBFBF"/>
              <w:right w:val="single" w:sz="2" w:space="0" w:color="FFFFFF"/>
            </w:tcBorders>
          </w:tcPr>
          <w:p w14:paraId="46109CC4" w14:textId="77777777" w:rsidR="00054037" w:rsidRDefault="00D26F92" w:rsidP="00350794">
            <w:pPr>
              <w:spacing w:after="160" w:line="259" w:lineRule="auto"/>
              <w:jc w:val="both"/>
              <w:rPr>
                <w:rFonts w:eastAsia="Calibri" w:cs="Arial"/>
                <w:color w:val="auto"/>
                <w:szCs w:val="22"/>
                <w:lang w:eastAsia="en-AU"/>
              </w:rPr>
            </w:pPr>
            <w:r w:rsidRPr="00D45A75">
              <w:rPr>
                <w:rFonts w:eastAsia="Calibri" w:cs="Arial"/>
                <w:color w:val="auto"/>
                <w:szCs w:val="22"/>
                <w:lang w:eastAsia="en-AU"/>
              </w:rPr>
              <w:t xml:space="preserve">Approval for an Individualised ITC placement and holding a bed can be for up to 6 months at a time*. </w:t>
            </w:r>
          </w:p>
          <w:p w14:paraId="6E95E7F0" w14:textId="1E504AA0" w:rsidR="00D26F92" w:rsidRPr="00D45A75" w:rsidRDefault="00054037" w:rsidP="00350794">
            <w:pPr>
              <w:spacing w:after="160" w:line="259" w:lineRule="auto"/>
              <w:jc w:val="both"/>
              <w:rPr>
                <w:rFonts w:eastAsia="Calibri" w:cs="Arial"/>
                <w:color w:val="auto"/>
                <w:szCs w:val="22"/>
                <w:lang w:eastAsia="en-AU"/>
              </w:rPr>
            </w:pPr>
            <w:r w:rsidRPr="00054037">
              <w:rPr>
                <w:rFonts w:eastAsia="Calibri" w:cs="Arial"/>
                <w:color w:val="auto"/>
                <w:szCs w:val="22"/>
                <w:lang w:eastAsia="en-AU"/>
              </w:rPr>
              <w:t>CAU will notify the service provider and contract manager of the Executive Director’s decision.</w:t>
            </w:r>
          </w:p>
          <w:p w14:paraId="07EFE1A5" w14:textId="0EF4947D" w:rsidR="00D26F92" w:rsidRPr="00D45A75" w:rsidRDefault="00D26F92" w:rsidP="002B143D">
            <w:pPr>
              <w:spacing w:after="160" w:line="259" w:lineRule="auto"/>
              <w:jc w:val="center"/>
              <w:rPr>
                <w:rFonts w:eastAsia="Calibri" w:cs="Arial"/>
                <w:i/>
                <w:color w:val="auto"/>
                <w:szCs w:val="22"/>
                <w:lang w:eastAsia="en-AU"/>
              </w:rPr>
            </w:pPr>
            <w:r w:rsidRPr="00D45A75">
              <w:rPr>
                <w:rFonts w:eastAsia="Calibri" w:cs="Arial"/>
                <w:color w:val="auto"/>
                <w:szCs w:val="22"/>
                <w:lang w:eastAsia="en-AU"/>
              </w:rPr>
              <w:t xml:space="preserve">* </w:t>
            </w:r>
            <w:r w:rsidR="00436C74" w:rsidRPr="00436C74">
              <w:rPr>
                <w:rFonts w:eastAsia="Calibri" w:cs="Arial"/>
                <w:i/>
                <w:iCs/>
                <w:color w:val="auto"/>
                <w:szCs w:val="22"/>
                <w:lang w:eastAsia="en-AU"/>
              </w:rPr>
              <w:t>Children and young people who are in approved individual placements should be reviewed regularly through district panels.</w:t>
            </w:r>
            <w:r w:rsidR="00436C74">
              <w:rPr>
                <w:rFonts w:eastAsia="Calibri" w:cs="Arial"/>
                <w:color w:val="auto"/>
                <w:szCs w:val="22"/>
                <w:lang w:eastAsia="en-AU"/>
              </w:rPr>
              <w:t xml:space="preserve"> </w:t>
            </w:r>
            <w:r w:rsidRPr="00D45A75">
              <w:rPr>
                <w:rFonts w:eastAsia="Calibri" w:cs="Arial"/>
                <w:i/>
                <w:color w:val="auto"/>
                <w:szCs w:val="22"/>
                <w:lang w:eastAsia="en-AU"/>
              </w:rPr>
              <w:t xml:space="preserve">If there is a change in the young persons’ circumstances or needs which enable them to be grouped with another young person before the end date </w:t>
            </w:r>
            <w:r w:rsidR="00BF3021">
              <w:rPr>
                <w:rFonts w:eastAsia="Calibri" w:cs="Arial"/>
                <w:i/>
                <w:color w:val="auto"/>
                <w:szCs w:val="22"/>
                <w:lang w:eastAsia="en-AU"/>
              </w:rPr>
              <w:t>of</w:t>
            </w:r>
            <w:r w:rsidRPr="00D45A75">
              <w:rPr>
                <w:rFonts w:eastAsia="Calibri" w:cs="Arial"/>
                <w:i/>
                <w:color w:val="auto"/>
                <w:szCs w:val="22"/>
                <w:lang w:eastAsia="en-AU"/>
              </w:rPr>
              <w:t xml:space="preserve"> the approval period, approval for an Individualised ITC placement can be ceased at that time.</w:t>
            </w:r>
          </w:p>
          <w:p w14:paraId="267F6E51" w14:textId="57F0A03C" w:rsidR="00D26F92" w:rsidRPr="00D45A75" w:rsidRDefault="00BF3021" w:rsidP="00BF3021">
            <w:pPr>
              <w:spacing w:after="160" w:line="259" w:lineRule="auto"/>
              <w:jc w:val="both"/>
              <w:rPr>
                <w:rFonts w:eastAsia="Calibri" w:cs="Arial"/>
                <w:color w:val="auto"/>
                <w:szCs w:val="22"/>
                <w:lang w:eastAsia="en-AU"/>
              </w:rPr>
            </w:pPr>
            <w:r>
              <w:rPr>
                <w:rFonts w:eastAsia="Calibri" w:cs="Arial"/>
                <w:color w:val="auto"/>
                <w:szCs w:val="22"/>
                <w:lang w:eastAsia="en-AU"/>
              </w:rPr>
              <w:t xml:space="preserve">Service provider to notify CAU of the change in circumstances </w:t>
            </w:r>
          </w:p>
        </w:tc>
      </w:tr>
      <w:tr w:rsidR="00684080" w:rsidRPr="00D45A75" w14:paraId="2C54EE45" w14:textId="77777777" w:rsidTr="00684080">
        <w:trPr>
          <w:trHeight w:val="435"/>
        </w:trPr>
        <w:tc>
          <w:tcPr>
            <w:tcW w:w="1987" w:type="dxa"/>
            <w:tcBorders>
              <w:top w:val="single" w:sz="2" w:space="0" w:color="FFFFFF"/>
              <w:left w:val="single" w:sz="2" w:space="0" w:color="FFFFFF"/>
              <w:bottom w:val="single" w:sz="2" w:space="0" w:color="FFFFFF"/>
              <w:right w:val="single" w:sz="2" w:space="0" w:color="FFFFFF"/>
            </w:tcBorders>
            <w:shd w:val="clear" w:color="auto" w:fill="D9D9D9"/>
            <w:vAlign w:val="center"/>
          </w:tcPr>
          <w:p w14:paraId="5FEF940C" w14:textId="02D1F547" w:rsidR="00684080" w:rsidRPr="00684080" w:rsidRDefault="00684080" w:rsidP="00B832DE">
            <w:pPr>
              <w:spacing w:after="160" w:line="259" w:lineRule="auto"/>
              <w:rPr>
                <w:rFonts w:cs="Arial"/>
                <w:szCs w:val="22"/>
              </w:rPr>
            </w:pPr>
            <w:r w:rsidRPr="00D45A75">
              <w:rPr>
                <w:rFonts w:cs="Arial"/>
                <w:szCs w:val="22"/>
              </w:rPr>
              <w:br w:type="textWrapping" w:clear="all"/>
            </w:r>
            <w:r w:rsidR="00BF3021">
              <w:rPr>
                <w:rFonts w:cs="Arial"/>
                <w:szCs w:val="22"/>
              </w:rPr>
              <w:t xml:space="preserve">Extension of approved Individualised placement </w:t>
            </w:r>
            <w:r w:rsidRPr="00684080">
              <w:rPr>
                <w:rFonts w:cs="Arial"/>
                <w:szCs w:val="22"/>
              </w:rPr>
              <w:t xml:space="preserve"> </w:t>
            </w:r>
          </w:p>
        </w:tc>
        <w:tc>
          <w:tcPr>
            <w:tcW w:w="6983" w:type="dxa"/>
            <w:tcBorders>
              <w:top w:val="single" w:sz="4" w:space="0" w:color="BFBFBF"/>
              <w:left w:val="single" w:sz="2" w:space="0" w:color="FFFFFF"/>
              <w:bottom w:val="single" w:sz="4" w:space="0" w:color="BFBFBF"/>
              <w:right w:val="single" w:sz="2" w:space="0" w:color="FFFFFF"/>
            </w:tcBorders>
          </w:tcPr>
          <w:p w14:paraId="6A3DF8A1" w14:textId="77777777" w:rsidR="00BF3021" w:rsidRDefault="00BF3021" w:rsidP="00B832DE">
            <w:pPr>
              <w:spacing w:after="160" w:line="259" w:lineRule="auto"/>
              <w:jc w:val="both"/>
              <w:rPr>
                <w:rFonts w:eastAsia="Calibri" w:cs="Arial"/>
                <w:color w:val="auto"/>
                <w:szCs w:val="22"/>
                <w:lang w:eastAsia="en-AU"/>
              </w:rPr>
            </w:pPr>
            <w:r>
              <w:rPr>
                <w:rFonts w:eastAsia="Calibri" w:cs="Arial"/>
                <w:color w:val="auto"/>
                <w:szCs w:val="22"/>
                <w:lang w:eastAsia="en-AU"/>
              </w:rPr>
              <w:t xml:space="preserve">Service </w:t>
            </w:r>
            <w:r w:rsidR="00684080">
              <w:rPr>
                <w:rFonts w:eastAsia="Calibri" w:cs="Arial"/>
                <w:color w:val="auto"/>
                <w:szCs w:val="22"/>
                <w:lang w:eastAsia="en-AU"/>
              </w:rPr>
              <w:t xml:space="preserve">Providers seeking to have a further period of </w:t>
            </w:r>
            <w:r>
              <w:rPr>
                <w:rFonts w:eastAsia="Calibri" w:cs="Arial"/>
                <w:color w:val="auto"/>
                <w:szCs w:val="22"/>
                <w:lang w:eastAsia="en-AU"/>
              </w:rPr>
              <w:t xml:space="preserve">approved </w:t>
            </w:r>
            <w:r w:rsidR="00684080">
              <w:rPr>
                <w:rFonts w:eastAsia="Calibri" w:cs="Arial"/>
                <w:color w:val="auto"/>
                <w:szCs w:val="22"/>
                <w:lang w:eastAsia="en-AU"/>
              </w:rPr>
              <w:t xml:space="preserve">Individualised Placement are required to submit the request to the CAU via email, with updated supporting documentation. </w:t>
            </w:r>
          </w:p>
          <w:p w14:paraId="3D508305" w14:textId="53D33FA8" w:rsidR="00684080" w:rsidRDefault="00684080" w:rsidP="00B832DE">
            <w:pPr>
              <w:spacing w:after="160" w:line="259" w:lineRule="auto"/>
              <w:jc w:val="both"/>
              <w:rPr>
                <w:rFonts w:eastAsia="Calibri" w:cs="Arial"/>
                <w:color w:val="auto"/>
                <w:szCs w:val="22"/>
                <w:lang w:eastAsia="en-AU"/>
              </w:rPr>
            </w:pPr>
            <w:r>
              <w:rPr>
                <w:rFonts w:eastAsia="Calibri" w:cs="Arial"/>
                <w:color w:val="auto"/>
                <w:szCs w:val="22"/>
                <w:lang w:eastAsia="en-AU"/>
              </w:rPr>
              <w:t xml:space="preserve">Requests should be submitted </w:t>
            </w:r>
            <w:r w:rsidRPr="00E535A4">
              <w:rPr>
                <w:rFonts w:eastAsia="Calibri" w:cs="Arial"/>
                <w:b/>
                <w:bCs/>
                <w:i/>
                <w:iCs/>
                <w:color w:val="auto"/>
                <w:szCs w:val="22"/>
                <w:lang w:eastAsia="en-AU"/>
              </w:rPr>
              <w:t>2 weeks</w:t>
            </w:r>
            <w:r>
              <w:rPr>
                <w:rFonts w:eastAsia="Calibri" w:cs="Arial"/>
                <w:color w:val="auto"/>
                <w:szCs w:val="22"/>
                <w:lang w:eastAsia="en-AU"/>
              </w:rPr>
              <w:t xml:space="preserve"> prior to the end of the initial approval period.</w:t>
            </w:r>
          </w:p>
          <w:p w14:paraId="54BF3B4B" w14:textId="5EA2969C" w:rsidR="00684080" w:rsidRPr="00516553" w:rsidRDefault="00684080" w:rsidP="00684080">
            <w:pPr>
              <w:rPr>
                <w:rFonts w:eastAsia="Calibri" w:cs="Arial"/>
                <w:color w:val="auto"/>
                <w:szCs w:val="22"/>
                <w:lang w:eastAsia="en-AU"/>
              </w:rPr>
            </w:pPr>
            <w:r w:rsidRPr="00516553">
              <w:rPr>
                <w:rFonts w:eastAsia="Calibri" w:cs="Arial"/>
                <w:color w:val="auto"/>
                <w:szCs w:val="22"/>
                <w:lang w:eastAsia="en-AU"/>
              </w:rPr>
              <w:t>The review process will be strength focussed and consider:</w:t>
            </w:r>
          </w:p>
          <w:p w14:paraId="47529C57" w14:textId="77777777" w:rsidR="00684080" w:rsidRPr="00D45A75" w:rsidRDefault="00684080" w:rsidP="00B832DE">
            <w:pPr>
              <w:numPr>
                <w:ilvl w:val="0"/>
                <w:numId w:val="46"/>
              </w:numPr>
              <w:spacing w:after="160" w:line="259" w:lineRule="auto"/>
              <w:jc w:val="both"/>
              <w:rPr>
                <w:rFonts w:eastAsia="Calibri" w:cs="Arial"/>
                <w:color w:val="auto"/>
                <w:szCs w:val="22"/>
                <w:lang w:eastAsia="en-AU"/>
              </w:rPr>
            </w:pPr>
            <w:r w:rsidRPr="00D45A75">
              <w:rPr>
                <w:rFonts w:eastAsia="Calibri" w:cs="Arial"/>
                <w:color w:val="auto"/>
                <w:szCs w:val="22"/>
                <w:lang w:eastAsia="en-AU"/>
              </w:rPr>
              <w:t xml:space="preserve">whether the assessments, casework or step down actions set out in the </w:t>
            </w:r>
            <w:r>
              <w:rPr>
                <w:rFonts w:eastAsia="Calibri" w:cs="Arial"/>
                <w:color w:val="auto"/>
                <w:szCs w:val="22"/>
                <w:lang w:eastAsia="en-AU"/>
              </w:rPr>
              <w:t xml:space="preserve">previous </w:t>
            </w:r>
            <w:r w:rsidRPr="00D45A75">
              <w:rPr>
                <w:rFonts w:eastAsia="Calibri" w:cs="Arial"/>
                <w:color w:val="auto"/>
                <w:szCs w:val="22"/>
                <w:lang w:eastAsia="en-AU"/>
              </w:rPr>
              <w:t>approval have been implemented</w:t>
            </w:r>
          </w:p>
          <w:p w14:paraId="47448541" w14:textId="77777777" w:rsidR="00684080" w:rsidRPr="00D45A75" w:rsidRDefault="00684080" w:rsidP="00B832DE">
            <w:pPr>
              <w:numPr>
                <w:ilvl w:val="0"/>
                <w:numId w:val="46"/>
              </w:numPr>
              <w:spacing w:after="160" w:line="259" w:lineRule="auto"/>
              <w:jc w:val="both"/>
              <w:rPr>
                <w:rFonts w:eastAsia="Calibri" w:cs="Arial"/>
                <w:color w:val="auto"/>
                <w:szCs w:val="22"/>
                <w:lang w:eastAsia="en-AU"/>
              </w:rPr>
            </w:pPr>
            <w:r w:rsidRPr="00D45A75">
              <w:rPr>
                <w:rFonts w:eastAsia="Calibri" w:cs="Arial"/>
                <w:color w:val="auto"/>
                <w:szCs w:val="22"/>
                <w:lang w:eastAsia="en-AU"/>
              </w:rPr>
              <w:t>whether the above actions have stabilised or addressed the young person’s support needs</w:t>
            </w:r>
          </w:p>
          <w:p w14:paraId="2AB8EBAD" w14:textId="77777777" w:rsidR="00684080" w:rsidRPr="00D45A75" w:rsidRDefault="00684080" w:rsidP="00B832DE">
            <w:pPr>
              <w:numPr>
                <w:ilvl w:val="0"/>
                <w:numId w:val="46"/>
              </w:numPr>
              <w:spacing w:after="160" w:line="259" w:lineRule="auto"/>
              <w:jc w:val="both"/>
              <w:rPr>
                <w:rFonts w:eastAsia="Calibri" w:cs="Arial"/>
                <w:color w:val="auto"/>
                <w:szCs w:val="22"/>
                <w:lang w:eastAsia="en-AU"/>
              </w:rPr>
            </w:pPr>
            <w:r w:rsidRPr="00D45A75">
              <w:rPr>
                <w:rFonts w:eastAsia="Calibri" w:cs="Arial"/>
                <w:color w:val="auto"/>
                <w:szCs w:val="22"/>
                <w:lang w:eastAsia="en-AU"/>
              </w:rPr>
              <w:t>additional assessments or measures required to be implemented/undertaken</w:t>
            </w:r>
          </w:p>
          <w:p w14:paraId="13361641" w14:textId="77777777" w:rsidR="00684080" w:rsidRPr="00D45A75" w:rsidRDefault="00684080" w:rsidP="00B832DE">
            <w:pPr>
              <w:numPr>
                <w:ilvl w:val="0"/>
                <w:numId w:val="46"/>
              </w:numPr>
              <w:spacing w:after="160" w:line="259" w:lineRule="auto"/>
              <w:jc w:val="both"/>
              <w:rPr>
                <w:rFonts w:eastAsia="Calibri" w:cs="Arial"/>
                <w:color w:val="auto"/>
                <w:szCs w:val="22"/>
                <w:lang w:eastAsia="en-AU"/>
              </w:rPr>
            </w:pPr>
            <w:r w:rsidRPr="00D45A75">
              <w:rPr>
                <w:rFonts w:eastAsia="Calibri" w:cs="Arial"/>
                <w:color w:val="auto"/>
                <w:szCs w:val="22"/>
                <w:lang w:eastAsia="en-AU"/>
              </w:rPr>
              <w:t>continued need for maintaining the young person in an individualised ITC placement</w:t>
            </w:r>
          </w:p>
          <w:p w14:paraId="1D007D41" w14:textId="77777777" w:rsidR="00684080" w:rsidRPr="00D45A75" w:rsidRDefault="00684080" w:rsidP="00B832DE">
            <w:pPr>
              <w:numPr>
                <w:ilvl w:val="0"/>
                <w:numId w:val="46"/>
              </w:numPr>
              <w:spacing w:after="160" w:line="259" w:lineRule="auto"/>
              <w:jc w:val="both"/>
              <w:rPr>
                <w:rFonts w:eastAsia="Calibri" w:cs="Arial"/>
                <w:color w:val="auto"/>
                <w:szCs w:val="22"/>
                <w:lang w:eastAsia="en-AU"/>
              </w:rPr>
            </w:pPr>
            <w:r w:rsidRPr="00D45A75">
              <w:rPr>
                <w:rFonts w:eastAsia="Calibri" w:cs="Arial"/>
                <w:color w:val="auto"/>
                <w:szCs w:val="22"/>
                <w:lang w:eastAsia="en-AU"/>
              </w:rPr>
              <w:t>recommendations for the agency with case responsibility to update the child’s case plan based on the outcomes of assessments and casework action.</w:t>
            </w:r>
          </w:p>
          <w:p w14:paraId="36D1DE96" w14:textId="77777777" w:rsidR="00684080" w:rsidRPr="00D45A75" w:rsidRDefault="00684080" w:rsidP="00B832DE">
            <w:pPr>
              <w:spacing w:after="160" w:line="259" w:lineRule="auto"/>
              <w:jc w:val="both"/>
              <w:rPr>
                <w:rFonts w:eastAsia="Calibri" w:cs="Arial"/>
                <w:color w:val="auto"/>
                <w:szCs w:val="22"/>
                <w:lang w:eastAsia="en-AU"/>
              </w:rPr>
            </w:pPr>
          </w:p>
        </w:tc>
      </w:tr>
      <w:tr w:rsidR="00684080" w:rsidRPr="00D45A75" w14:paraId="6682FDBF" w14:textId="77777777" w:rsidTr="00684080">
        <w:trPr>
          <w:trHeight w:val="435"/>
        </w:trPr>
        <w:tc>
          <w:tcPr>
            <w:tcW w:w="1987" w:type="dxa"/>
            <w:tcBorders>
              <w:top w:val="single" w:sz="2" w:space="0" w:color="FFFFFF"/>
              <w:left w:val="single" w:sz="2" w:space="0" w:color="FFFFFF"/>
              <w:bottom w:val="single" w:sz="2" w:space="0" w:color="FFFFFF"/>
              <w:right w:val="single" w:sz="2" w:space="0" w:color="FFFFFF"/>
            </w:tcBorders>
            <w:shd w:val="clear" w:color="auto" w:fill="D9D9D9"/>
            <w:vAlign w:val="center"/>
          </w:tcPr>
          <w:p w14:paraId="313381D0" w14:textId="77777777" w:rsidR="00684080" w:rsidRPr="00D45A75" w:rsidRDefault="00684080" w:rsidP="005E38C4">
            <w:pPr>
              <w:spacing w:after="160" w:line="259" w:lineRule="auto"/>
              <w:rPr>
                <w:rFonts w:cs="Arial"/>
                <w:szCs w:val="22"/>
              </w:rPr>
            </w:pPr>
          </w:p>
        </w:tc>
        <w:tc>
          <w:tcPr>
            <w:tcW w:w="6983" w:type="dxa"/>
            <w:tcBorders>
              <w:top w:val="single" w:sz="4" w:space="0" w:color="BFBFBF"/>
              <w:left w:val="single" w:sz="2" w:space="0" w:color="FFFFFF"/>
              <w:bottom w:val="single" w:sz="4" w:space="0" w:color="BFBFBF"/>
              <w:right w:val="single" w:sz="2" w:space="0" w:color="FFFFFF"/>
            </w:tcBorders>
          </w:tcPr>
          <w:p w14:paraId="2007CE53" w14:textId="77777777" w:rsidR="00684080" w:rsidRPr="00D45A75" w:rsidRDefault="00684080" w:rsidP="00350794">
            <w:pPr>
              <w:spacing w:after="160" w:line="259" w:lineRule="auto"/>
              <w:jc w:val="both"/>
              <w:rPr>
                <w:rFonts w:eastAsia="Calibri" w:cs="Arial"/>
                <w:color w:val="auto"/>
                <w:szCs w:val="22"/>
                <w:lang w:eastAsia="en-AU"/>
              </w:rPr>
            </w:pPr>
          </w:p>
        </w:tc>
      </w:tr>
    </w:tbl>
    <w:p w14:paraId="04FBC85A" w14:textId="3C96935B" w:rsidR="00D115AF" w:rsidRPr="00615E9F" w:rsidRDefault="00B82398" w:rsidP="00350794">
      <w:pPr>
        <w:jc w:val="both"/>
        <w:rPr>
          <w:rFonts w:ascii="Arial" w:hAnsi="Arial" w:cs="Arial"/>
          <w:szCs w:val="22"/>
        </w:rPr>
      </w:pPr>
      <w:r w:rsidRPr="00A87DA4">
        <w:rPr>
          <w:rFonts w:ascii="Arial" w:hAnsi="Arial" w:cs="Arial"/>
          <w:szCs w:val="22"/>
        </w:rPr>
        <w:t xml:space="preserve"> </w:t>
      </w:r>
    </w:p>
    <w:p w14:paraId="35E63E2F" w14:textId="77777777" w:rsidR="00E574BB" w:rsidRPr="00A87DA4" w:rsidRDefault="00E574BB" w:rsidP="00350794">
      <w:pPr>
        <w:pStyle w:val="Heading3"/>
        <w:jc w:val="both"/>
        <w:rPr>
          <w:rFonts w:ascii="Arial" w:hAnsi="Arial" w:cs="Arial"/>
          <w:szCs w:val="22"/>
        </w:rPr>
      </w:pPr>
    </w:p>
    <w:sectPr w:rsidR="00E574BB" w:rsidRPr="00A87DA4" w:rsidSect="005C7BA3">
      <w:headerReference w:type="even" r:id="rId10"/>
      <w:headerReference w:type="default" r:id="rId11"/>
      <w:footerReference w:type="even" r:id="rId12"/>
      <w:footerReference w:type="default" r:id="rId13"/>
      <w:headerReference w:type="first" r:id="rId14"/>
      <w:footerReference w:type="first" r:id="rId15"/>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113F" w14:textId="77777777" w:rsidR="00FB4970" w:rsidRDefault="00FB4970" w:rsidP="00D41211">
      <w:r>
        <w:separator/>
      </w:r>
    </w:p>
  </w:endnote>
  <w:endnote w:type="continuationSeparator" w:id="0">
    <w:p w14:paraId="0B41C1B7" w14:textId="77777777" w:rsidR="00FB4970" w:rsidRDefault="00FB497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68192C89" w14:textId="77777777" w:rsidR="004604E2" w:rsidRDefault="004604E2" w:rsidP="00653641">
        <w:pPr>
          <w:pStyle w:val="Footer"/>
        </w:pPr>
        <w:r>
          <w:fldChar w:fldCharType="begin"/>
        </w:r>
        <w:r>
          <w:instrText xml:space="preserve"> PAGE </w:instrText>
        </w:r>
        <w:r>
          <w:fldChar w:fldCharType="end"/>
        </w:r>
      </w:p>
    </w:sdtContent>
  </w:sdt>
  <w:p w14:paraId="28CE682D" w14:textId="77777777" w:rsidR="006E0192" w:rsidRDefault="006E0192" w:rsidP="00653641">
    <w:pPr>
      <w:pStyle w:val="Footer"/>
    </w:pPr>
  </w:p>
  <w:p w14:paraId="117F491D" w14:textId="77777777" w:rsidR="006F13D5" w:rsidRDefault="006F13D5" w:rsidP="0065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C3D" w14:textId="77777777" w:rsidR="005C7BA3" w:rsidRPr="005C7BA3" w:rsidRDefault="005C7BA3" w:rsidP="00655D8D">
    <w:pPr>
      <w:pStyle w:val="BodyText"/>
      <w:framePr w:wrap="around"/>
    </w:pPr>
  </w:p>
  <w:sdt>
    <w:sdtPr>
      <w:rPr>
        <w:rStyle w:val="PageNumber"/>
      </w:rPr>
      <w:id w:val="238912985"/>
      <w:docPartObj>
        <w:docPartGallery w:val="Page Numbers (Bottom of Page)"/>
        <w:docPartUnique/>
      </w:docPartObj>
    </w:sdtPr>
    <w:sdtEndPr>
      <w:rPr>
        <w:rStyle w:val="PageNumber"/>
      </w:rPr>
    </w:sdtEndPr>
    <w:sdtContent>
      <w:p w14:paraId="408F1E16" w14:textId="37C39F43" w:rsidR="005C7BA3" w:rsidRDefault="005C7BA3" w:rsidP="005C7BA3">
        <w:pPr>
          <w:pStyle w:val="Footer"/>
          <w:framePr w:wrap="none" w:vAnchor="text" w:hAnchor="page" w:x="10794" w:y="234"/>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115AF">
          <w:rPr>
            <w:rStyle w:val="PageNumber"/>
            <w:noProof/>
          </w:rPr>
          <w:t>4</w:t>
        </w:r>
        <w:r>
          <w:rPr>
            <w:rStyle w:val="PageNumber"/>
          </w:rPr>
          <w:fldChar w:fldCharType="end"/>
        </w:r>
      </w:p>
    </w:sdtContent>
  </w:sdt>
  <w:p w14:paraId="4D82083C" w14:textId="201FAF2E" w:rsidR="005C7BA3" w:rsidRDefault="005C7BA3" w:rsidP="005C7BA3">
    <w:pPr>
      <w:pStyle w:val="Footer"/>
      <w:spacing w:before="480"/>
      <w:ind w:right="360"/>
    </w:pPr>
    <w:r>
      <w:rPr>
        <w:noProof/>
        <w:lang w:eastAsia="en-AU"/>
      </w:rPr>
      <mc:AlternateContent>
        <mc:Choice Requires="wps">
          <w:drawing>
            <wp:anchor distT="0" distB="0" distL="114300" distR="114300" simplePos="0" relativeHeight="251657728" behindDoc="0" locked="0" layoutInCell="1" allowOverlap="1" wp14:anchorId="7C316CF3" wp14:editId="0F2DAF1A">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CDBA5F" id="Straight Connector 1" o:spid="_x0000_s1026" alt="&quot;&quot;"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D115AF">
      <w:t xml:space="preserve">Request for Individualised ITCH or ITC-SD Placement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0378"/>
      <w:docPartObj>
        <w:docPartGallery w:val="Page Numbers (Bottom of Page)"/>
        <w:docPartUnique/>
      </w:docPartObj>
    </w:sdtPr>
    <w:sdtEndPr/>
    <w:sdtContent>
      <w:p w14:paraId="4BD17492" w14:textId="77777777" w:rsidR="00311886" w:rsidRDefault="00175B3B" w:rsidP="005C7BA3">
        <w:pPr>
          <w:pStyle w:val="Footer"/>
          <w:spacing w:before="480"/>
          <w:ind w:right="360"/>
        </w:pPr>
        <w:r>
          <w:rPr>
            <w:rFonts w:asciiTheme="majorHAnsi" w:eastAsiaTheme="majorEastAsia" w:hAnsiTheme="majorHAnsi" w:cstheme="majorBidi"/>
            <w:noProof/>
            <w:sz w:val="28"/>
            <w:szCs w:val="28"/>
            <w:lang w:eastAsia="en-AU"/>
          </w:rPr>
          <mc:AlternateContent>
            <mc:Choice Requires="wps">
              <w:drawing>
                <wp:anchor distT="0" distB="0" distL="114300" distR="114300" simplePos="0" relativeHeight="251658752" behindDoc="0" locked="0" layoutInCell="1" allowOverlap="1" wp14:anchorId="52EE94EB" wp14:editId="25D3CAF2">
                  <wp:simplePos x="0" y="0"/>
                  <wp:positionH relativeFrom="rightMargin">
                    <wp:align>center</wp:align>
                  </wp:positionH>
                  <wp:positionV relativeFrom="bottomMargin">
                    <wp:align>center</wp:align>
                  </wp:positionV>
                  <wp:extent cx="512445" cy="441325"/>
                  <wp:effectExtent l="0" t="0" r="1905" b="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1D7C02" w14:textId="0AA8FE63" w:rsidR="00175B3B" w:rsidRDefault="00175B3B">
                              <w:pPr>
                                <w:pStyle w:val="Footer"/>
                                <w:pBdr>
                                  <w:top w:val="single" w:sz="12" w:space="1" w:color="146CFD" w:themeColor="accent3"/>
                                  <w:bottom w:val="single" w:sz="48" w:space="1" w:color="146CFD"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D115AF" w:rsidRPr="00D115AF">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E94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position:absolute;margin-left:0;margin-top:0;width:40.35pt;height:34.75pt;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91D7C02" w14:textId="0AA8FE63" w:rsidR="00175B3B" w:rsidRDefault="00175B3B">
                        <w:pPr>
                          <w:pStyle w:val="Footer"/>
                          <w:pBdr>
                            <w:top w:val="single" w:sz="12" w:space="1" w:color="146CFD" w:themeColor="accent3"/>
                            <w:bottom w:val="single" w:sz="48" w:space="1" w:color="146CFD"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D115AF" w:rsidRPr="00D115AF">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A6A7" w14:textId="77777777" w:rsidR="00FB4970" w:rsidRDefault="00FB4970" w:rsidP="00D41211">
      <w:r>
        <w:separator/>
      </w:r>
    </w:p>
  </w:footnote>
  <w:footnote w:type="continuationSeparator" w:id="0">
    <w:p w14:paraId="472B835C" w14:textId="77777777" w:rsidR="00FB4970" w:rsidRDefault="00FB497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673E" w14:textId="77777777" w:rsidR="006C7D81" w:rsidRDefault="006C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7ACB58E4" w14:textId="77777777" w:rsidTr="00AA2E5F">
      <w:trPr>
        <w:cantSplit/>
        <w:tblHeader/>
      </w:trPr>
      <w:tc>
        <w:tcPr>
          <w:tcW w:w="9038" w:type="dxa"/>
        </w:tcPr>
        <w:p w14:paraId="3F3C21B1" w14:textId="77777777" w:rsidR="007F06B5" w:rsidRPr="007F06B5" w:rsidRDefault="002A72C9" w:rsidP="00921EC3">
          <w:pPr>
            <w:pStyle w:val="Descriptor"/>
          </w:pPr>
          <w:r>
            <w:rPr>
              <w:noProof/>
              <w:lang w:eastAsia="en-AU"/>
            </w:rPr>
            <mc:AlternateContent>
              <mc:Choice Requires="wps">
                <w:drawing>
                  <wp:anchor distT="0" distB="0" distL="114300" distR="114300" simplePos="0" relativeHeight="251656704" behindDoc="1" locked="0" layoutInCell="1" allowOverlap="1" wp14:anchorId="080CA3E9" wp14:editId="67F8C8E8">
                    <wp:simplePos x="0" y="0"/>
                    <wp:positionH relativeFrom="column">
                      <wp:posOffset>-682998</wp:posOffset>
                    </wp:positionH>
                    <wp:positionV relativeFrom="paragraph">
                      <wp:posOffset>-703994</wp:posOffset>
                    </wp:positionV>
                    <wp:extent cx="7778115" cy="2600588"/>
                    <wp:effectExtent l="0" t="0" r="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600588"/>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54F1B" id="Rectangle 8" o:spid="_x0000_s1026" alt="&quot;&quot;" style="position:absolute;margin-left:-53.8pt;margin-top:-55.45pt;width:612.45pt;height:20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" fillcolor="#cbedfd [3205]" stroked="f"/>
                </w:pict>
              </mc:Fallback>
            </mc:AlternateContent>
          </w:r>
          <w:r w:rsidR="007F06B5" w:rsidRPr="007F06B5">
            <w:t>Communities and Justice</w:t>
          </w:r>
        </w:p>
      </w:tc>
      <w:tc>
        <w:tcPr>
          <w:tcW w:w="1160" w:type="dxa"/>
        </w:tcPr>
        <w:p w14:paraId="00E5611D" w14:textId="77777777" w:rsidR="007F06B5" w:rsidRPr="007F06B5" w:rsidRDefault="007F06B5" w:rsidP="007F06B5">
          <w:pPr>
            <w:ind w:right="-1709"/>
          </w:pPr>
          <w:r w:rsidRPr="007F06B5">
            <w:rPr>
              <w:noProof/>
              <w:lang w:eastAsia="en-AU"/>
            </w:rPr>
            <w:drawing>
              <wp:inline distT="0" distB="0" distL="0" distR="0" wp14:anchorId="4E404D03" wp14:editId="13D7590A">
                <wp:extent cx="730800" cy="792000"/>
                <wp:effectExtent l="0" t="0" r="6350" b="0"/>
                <wp:docPr id="12" name="Picture 1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661E2E58" w14:textId="05BA74F7" w:rsidR="00175B3B" w:rsidRPr="00175B3B" w:rsidRDefault="00175B3B" w:rsidP="00305D48">
    <w:pPr>
      <w:pStyle w:val="Heading1"/>
    </w:pPr>
    <w:r w:rsidRPr="00175B3B">
      <w:t xml:space="preserve">Request for an Individualised ITCH or ITC-SD </w:t>
    </w:r>
    <w:r w:rsidR="00D115AF">
      <w:t>P</w:t>
    </w:r>
    <w:r w:rsidRPr="00175B3B">
      <w:t xml:space="preserve">lacement </w:t>
    </w:r>
  </w:p>
  <w:p w14:paraId="2EE4D397" w14:textId="77777777" w:rsidR="00311886" w:rsidRDefault="002A72C9" w:rsidP="004924A9">
    <w:pPr>
      <w:spacing w:after="720"/>
    </w:pPr>
    <w:r>
      <w:rPr>
        <w:noProof/>
        <w:lang w:eastAsia="en-AU"/>
      </w:rPr>
      <mc:AlternateContent>
        <mc:Choice Requires="wps">
          <w:drawing>
            <wp:inline distT="0" distB="0" distL="0" distR="0" wp14:anchorId="477F8C28" wp14:editId="0330A4DD">
              <wp:extent cx="6431500" cy="0"/>
              <wp:effectExtent l="0" t="0" r="7620" b="127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10F7831"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593A48E1" w14:textId="77777777" w:rsidTr="00AB37EF">
      <w:trPr>
        <w:cantSplit/>
        <w:tblHeader/>
      </w:trPr>
      <w:tc>
        <w:tcPr>
          <w:tcW w:w="9038" w:type="dxa"/>
        </w:tcPr>
        <w:p w14:paraId="03633D5D" w14:textId="77777777" w:rsidR="00E574BB" w:rsidRPr="00D01D99" w:rsidRDefault="00E97AE5" w:rsidP="00921EC3">
          <w:pPr>
            <w:pStyle w:val="Descriptor"/>
          </w:pPr>
          <w:r>
            <w:rPr>
              <w:noProof/>
              <w:lang w:eastAsia="en-AU"/>
            </w:rPr>
            <mc:AlternateContent>
              <mc:Choice Requires="wps">
                <w:drawing>
                  <wp:anchor distT="0" distB="0" distL="114300" distR="114300" simplePos="0" relativeHeight="251655680" behindDoc="1" locked="0" layoutInCell="1" allowOverlap="1" wp14:anchorId="66A3368F" wp14:editId="1E70FC0B">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2A10" id="Rectangle 6" o:spid="_x0000_s1026" alt="&quot;&quot;" style="position:absolute;margin-left:-57.75pt;margin-top:-39.6pt;width:612.45pt;height:2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sidR="00E574BB" w:rsidRPr="00D01D99">
            <w:t>Communities and Justice</w:t>
          </w:r>
        </w:p>
      </w:tc>
      <w:tc>
        <w:tcPr>
          <w:tcW w:w="1160" w:type="dxa"/>
        </w:tcPr>
        <w:p w14:paraId="1135D508" w14:textId="77777777" w:rsidR="00E574BB" w:rsidRDefault="00E574BB" w:rsidP="00E574BB">
          <w:pPr>
            <w:jc w:val="right"/>
          </w:pPr>
          <w:r>
            <w:rPr>
              <w:noProof/>
              <w:lang w:eastAsia="en-AU"/>
            </w:rPr>
            <w:drawing>
              <wp:inline distT="0" distB="0" distL="0" distR="0" wp14:anchorId="6F8201A4" wp14:editId="6985F400">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2C0AC9B0" w14:textId="43E71730" w:rsidR="00772FE9" w:rsidRDefault="00772FE9" w:rsidP="00921EC3">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BCAE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FAB5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848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CE239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FE6C7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B40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46C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2C97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A200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0A57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64164042"/>
    <w:lvl w:ilvl="0" w:tplc="9C7CE5E4">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338C5"/>
    <w:multiLevelType w:val="hybridMultilevel"/>
    <w:tmpl w:val="1480BAB6"/>
    <w:lvl w:ilvl="0" w:tplc="04090005">
      <w:start w:val="1"/>
      <w:numFmt w:val="bullet"/>
      <w:lvlText w:val=""/>
      <w:lvlJc w:val="left"/>
      <w:pPr>
        <w:tabs>
          <w:tab w:val="num" w:pos="850"/>
        </w:tabs>
        <w:ind w:left="850" w:hanging="283"/>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AA70BE"/>
    <w:multiLevelType w:val="multilevel"/>
    <w:tmpl w:val="170C8182"/>
    <w:lvl w:ilvl="0">
      <w:start w:val="1"/>
      <w:numFmt w:val="decimal"/>
      <w:lvlText w:val="%1."/>
      <w:lvlJc w:val="left"/>
      <w:pPr>
        <w:tabs>
          <w:tab w:val="num" w:pos="425"/>
        </w:tabs>
        <w:ind w:left="425" w:hanging="425"/>
      </w:pPr>
      <w:rPr>
        <w:rFonts w:asciiTheme="minorHAnsi" w:hAnsiTheme="minorHAnsi" w:hint="default"/>
      </w:rPr>
    </w:lvl>
    <w:lvl w:ilvl="1">
      <w:start w:val="1"/>
      <w:numFmt w:val="lowerLetter"/>
      <w:lvlText w:val="%2."/>
      <w:lvlJc w:val="left"/>
      <w:pPr>
        <w:tabs>
          <w:tab w:val="num" w:pos="851"/>
        </w:tabs>
        <w:ind w:left="851" w:hanging="426"/>
      </w:pPr>
      <w:rPr>
        <w:rFonts w:asciiTheme="minorHAnsi" w:hAnsiTheme="minorHAnsi" w:hint="default"/>
      </w:rPr>
    </w:lvl>
    <w:lvl w:ilvl="2">
      <w:start w:val="1"/>
      <w:numFmt w:val="lowerRoman"/>
      <w:lvlText w:val="%3."/>
      <w:lvlJc w:val="left"/>
      <w:pPr>
        <w:tabs>
          <w:tab w:val="num" w:pos="1276"/>
        </w:tabs>
        <w:ind w:left="1276" w:hanging="425"/>
      </w:pPr>
      <w:rPr>
        <w:rFonts w:asciiTheme="minorHAnsi" w:hAnsi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596A30"/>
    <w:multiLevelType w:val="hybridMultilevel"/>
    <w:tmpl w:val="1EFCF1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A2B08B5"/>
    <w:multiLevelType w:val="hybridMultilevel"/>
    <w:tmpl w:val="EE8AC3A4"/>
    <w:lvl w:ilvl="0" w:tplc="EE7A6648">
      <w:start w:val="1"/>
      <w:numFmt w:val="bullet"/>
      <w:lvlText w:val=""/>
      <w:lvlJc w:val="left"/>
      <w:pPr>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B94DAF"/>
    <w:multiLevelType w:val="hybridMultilevel"/>
    <w:tmpl w:val="09FC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98105B"/>
    <w:multiLevelType w:val="hybridMultilevel"/>
    <w:tmpl w:val="21422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92A23BC">
      <w:numFmt w:val="bullet"/>
      <w:lvlText w:val="•"/>
      <w:lvlJc w:val="left"/>
      <w:pPr>
        <w:ind w:left="1800" w:hanging="360"/>
      </w:pPr>
      <w:rPr>
        <w:rFonts w:ascii="Arial" w:eastAsiaTheme="minorEastAs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E54A9"/>
    <w:multiLevelType w:val="hybridMultilevel"/>
    <w:tmpl w:val="62306AA0"/>
    <w:lvl w:ilvl="0" w:tplc="1196EF36">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3A1D49"/>
    <w:multiLevelType w:val="hybridMultilevel"/>
    <w:tmpl w:val="74CC3E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6F2935"/>
    <w:multiLevelType w:val="hybridMultilevel"/>
    <w:tmpl w:val="0512E7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325084"/>
    <w:multiLevelType w:val="hybridMultilevel"/>
    <w:tmpl w:val="518C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E50DBB"/>
    <w:multiLevelType w:val="hybridMultilevel"/>
    <w:tmpl w:val="D7F68A04"/>
    <w:lvl w:ilvl="0" w:tplc="651666F0">
      <w:start w:val="22"/>
      <w:numFmt w:val="bullet"/>
      <w:lvlText w:val="-"/>
      <w:lvlJc w:val="left"/>
      <w:pPr>
        <w:ind w:left="720" w:hanging="360"/>
      </w:pPr>
      <w:rPr>
        <w:rFonts w:ascii="Public Sans Light" w:eastAsiaTheme="minorEastAsia" w:hAnsi="Public Sans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509DC"/>
    <w:multiLevelType w:val="hybridMultilevel"/>
    <w:tmpl w:val="E4F8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E41FDC"/>
    <w:multiLevelType w:val="hybridMultilevel"/>
    <w:tmpl w:val="16424750"/>
    <w:lvl w:ilvl="0" w:tplc="27D6BA64">
      <w:start w:val="1"/>
      <w:numFmt w:val="bullet"/>
      <w:pStyle w:val="BodyTex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46474"/>
    <w:multiLevelType w:val="hybridMultilevel"/>
    <w:tmpl w:val="39C6F420"/>
    <w:lvl w:ilvl="0" w:tplc="2244F880">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9085B"/>
    <w:multiLevelType w:val="hybridMultilevel"/>
    <w:tmpl w:val="1C4CE4DE"/>
    <w:lvl w:ilvl="0" w:tplc="0C090003">
      <w:start w:val="1"/>
      <w:numFmt w:val="bullet"/>
      <w:lvlText w:val="o"/>
      <w:lvlJc w:val="left"/>
      <w:pPr>
        <w:ind w:left="720" w:hanging="360"/>
      </w:pPr>
      <w:rPr>
        <w:rFonts w:ascii="Courier New" w:hAnsi="Courier New" w:cs="Courier New" w:hint="default"/>
      </w:rPr>
    </w:lvl>
    <w:lvl w:ilvl="1" w:tplc="A2F86FD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627089"/>
    <w:multiLevelType w:val="hybridMultilevel"/>
    <w:tmpl w:val="A3462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CE1DBC"/>
    <w:multiLevelType w:val="hybridMultilevel"/>
    <w:tmpl w:val="D7F4534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893C85"/>
    <w:multiLevelType w:val="hybridMultilevel"/>
    <w:tmpl w:val="11E4DB0C"/>
    <w:lvl w:ilvl="0" w:tplc="5C8825B6">
      <w:start w:val="1"/>
      <w:numFmt w:val="bullet"/>
      <w:lvlText w:val=""/>
      <w:lvlJc w:val="left"/>
      <w:pPr>
        <w:tabs>
          <w:tab w:val="num" w:pos="850"/>
        </w:tabs>
        <w:ind w:left="850" w:hanging="283"/>
      </w:pPr>
      <w:rPr>
        <w:rFonts w:ascii="Wingdings" w:hAnsi="Wingdings"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8F0FE6"/>
    <w:multiLevelType w:val="hybridMultilevel"/>
    <w:tmpl w:val="478E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C0FF3"/>
    <w:multiLevelType w:val="hybridMultilevel"/>
    <w:tmpl w:val="3E9AE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6300421">
    <w:abstractNumId w:val="22"/>
  </w:num>
  <w:num w:numId="2" w16cid:durableId="1043941610">
    <w:abstractNumId w:val="16"/>
  </w:num>
  <w:num w:numId="3" w16cid:durableId="157162650">
    <w:abstractNumId w:val="0"/>
  </w:num>
  <w:num w:numId="4" w16cid:durableId="322586135">
    <w:abstractNumId w:val="33"/>
  </w:num>
  <w:num w:numId="5" w16cid:durableId="1607615055">
    <w:abstractNumId w:val="38"/>
  </w:num>
  <w:num w:numId="6" w16cid:durableId="1650092291">
    <w:abstractNumId w:val="11"/>
  </w:num>
  <w:num w:numId="7" w16cid:durableId="1831947220">
    <w:abstractNumId w:val="41"/>
  </w:num>
  <w:num w:numId="8" w16cid:durableId="1036468372">
    <w:abstractNumId w:val="30"/>
  </w:num>
  <w:num w:numId="9" w16cid:durableId="1203322743">
    <w:abstractNumId w:val="14"/>
  </w:num>
  <w:num w:numId="10" w16cid:durableId="1026175167">
    <w:abstractNumId w:val="24"/>
  </w:num>
  <w:num w:numId="11" w16cid:durableId="1448542397">
    <w:abstractNumId w:val="43"/>
  </w:num>
  <w:num w:numId="12" w16cid:durableId="828904703">
    <w:abstractNumId w:val="15"/>
  </w:num>
  <w:num w:numId="13" w16cid:durableId="136605344">
    <w:abstractNumId w:val="34"/>
  </w:num>
  <w:num w:numId="14" w16cid:durableId="184365261">
    <w:abstractNumId w:val="12"/>
  </w:num>
  <w:num w:numId="15" w16cid:durableId="279528671">
    <w:abstractNumId w:val="40"/>
  </w:num>
  <w:num w:numId="16" w16cid:durableId="244808117">
    <w:abstractNumId w:val="13"/>
  </w:num>
  <w:num w:numId="17" w16cid:durableId="169563010">
    <w:abstractNumId w:val="39"/>
  </w:num>
  <w:num w:numId="18" w16cid:durableId="467362322">
    <w:abstractNumId w:val="21"/>
  </w:num>
  <w:num w:numId="19" w16cid:durableId="1808011085">
    <w:abstractNumId w:val="20"/>
  </w:num>
  <w:num w:numId="20" w16cid:durableId="156924656">
    <w:abstractNumId w:val="31"/>
  </w:num>
  <w:num w:numId="21" w16cid:durableId="522322933">
    <w:abstractNumId w:val="44"/>
  </w:num>
  <w:num w:numId="22" w16cid:durableId="852913707">
    <w:abstractNumId w:val="10"/>
  </w:num>
  <w:num w:numId="23" w16cid:durableId="10765856">
    <w:abstractNumId w:val="8"/>
  </w:num>
  <w:num w:numId="24" w16cid:durableId="1720666961">
    <w:abstractNumId w:val="7"/>
  </w:num>
  <w:num w:numId="25" w16cid:durableId="1792894564">
    <w:abstractNumId w:val="6"/>
  </w:num>
  <w:num w:numId="26" w16cid:durableId="239799186">
    <w:abstractNumId w:val="5"/>
  </w:num>
  <w:num w:numId="27" w16cid:durableId="245724702">
    <w:abstractNumId w:val="9"/>
  </w:num>
  <w:num w:numId="28" w16cid:durableId="836920418">
    <w:abstractNumId w:val="4"/>
  </w:num>
  <w:num w:numId="29" w16cid:durableId="1876965067">
    <w:abstractNumId w:val="3"/>
  </w:num>
  <w:num w:numId="30" w16cid:durableId="1034308449">
    <w:abstractNumId w:val="2"/>
  </w:num>
  <w:num w:numId="31" w16cid:durableId="611011897">
    <w:abstractNumId w:val="1"/>
  </w:num>
  <w:num w:numId="32" w16cid:durableId="1272398317">
    <w:abstractNumId w:val="29"/>
  </w:num>
  <w:num w:numId="33" w16cid:durableId="1459105292">
    <w:abstractNumId w:val="42"/>
  </w:num>
  <w:num w:numId="34" w16cid:durableId="241835807">
    <w:abstractNumId w:val="35"/>
  </w:num>
  <w:num w:numId="35" w16cid:durableId="886990871">
    <w:abstractNumId w:val="37"/>
  </w:num>
  <w:num w:numId="36" w16cid:durableId="716708679">
    <w:abstractNumId w:val="23"/>
  </w:num>
  <w:num w:numId="37" w16cid:durableId="388963159">
    <w:abstractNumId w:val="19"/>
  </w:num>
  <w:num w:numId="38" w16cid:durableId="1374311388">
    <w:abstractNumId w:val="27"/>
  </w:num>
  <w:num w:numId="39" w16cid:durableId="1702902310">
    <w:abstractNumId w:val="18"/>
  </w:num>
  <w:num w:numId="40" w16cid:durableId="1085033024">
    <w:abstractNumId w:val="28"/>
  </w:num>
  <w:num w:numId="41" w16cid:durableId="1676034238">
    <w:abstractNumId w:val="32"/>
  </w:num>
  <w:num w:numId="42" w16cid:durableId="1590042817">
    <w:abstractNumId w:val="36"/>
  </w:num>
  <w:num w:numId="43" w16cid:durableId="1499733998">
    <w:abstractNumId w:val="28"/>
  </w:num>
  <w:num w:numId="44" w16cid:durableId="1991906188">
    <w:abstractNumId w:val="17"/>
  </w:num>
  <w:num w:numId="45" w16cid:durableId="671419376">
    <w:abstractNumId w:val="25"/>
  </w:num>
  <w:num w:numId="46" w16cid:durableId="10879251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98"/>
    <w:rsid w:val="00006334"/>
    <w:rsid w:val="00015100"/>
    <w:rsid w:val="00023061"/>
    <w:rsid w:val="00054037"/>
    <w:rsid w:val="00063FED"/>
    <w:rsid w:val="00066408"/>
    <w:rsid w:val="000702C2"/>
    <w:rsid w:val="000737BB"/>
    <w:rsid w:val="000804F8"/>
    <w:rsid w:val="0008164E"/>
    <w:rsid w:val="00087332"/>
    <w:rsid w:val="000A4C8F"/>
    <w:rsid w:val="000A69B9"/>
    <w:rsid w:val="000A70F0"/>
    <w:rsid w:val="000B288B"/>
    <w:rsid w:val="000C02BB"/>
    <w:rsid w:val="000C72D7"/>
    <w:rsid w:val="000D3040"/>
    <w:rsid w:val="000E3FAE"/>
    <w:rsid w:val="000F26C8"/>
    <w:rsid w:val="000F5EB0"/>
    <w:rsid w:val="0010445F"/>
    <w:rsid w:val="00127199"/>
    <w:rsid w:val="001315B6"/>
    <w:rsid w:val="0015636B"/>
    <w:rsid w:val="00162FBB"/>
    <w:rsid w:val="00174150"/>
    <w:rsid w:val="00175B3B"/>
    <w:rsid w:val="00181CC8"/>
    <w:rsid w:val="00184E45"/>
    <w:rsid w:val="001A2DF0"/>
    <w:rsid w:val="001B1470"/>
    <w:rsid w:val="001B2B0C"/>
    <w:rsid w:val="001B4C4E"/>
    <w:rsid w:val="001C13F1"/>
    <w:rsid w:val="001F4C9C"/>
    <w:rsid w:val="00203E7E"/>
    <w:rsid w:val="0020481B"/>
    <w:rsid w:val="00204DD4"/>
    <w:rsid w:val="00235CC3"/>
    <w:rsid w:val="00235E84"/>
    <w:rsid w:val="00243948"/>
    <w:rsid w:val="00243A7A"/>
    <w:rsid w:val="00245A62"/>
    <w:rsid w:val="00264C15"/>
    <w:rsid w:val="00273645"/>
    <w:rsid w:val="002A6B37"/>
    <w:rsid w:val="002A72C9"/>
    <w:rsid w:val="002B143D"/>
    <w:rsid w:val="002B3F09"/>
    <w:rsid w:val="002C03EB"/>
    <w:rsid w:val="002C15EA"/>
    <w:rsid w:val="002C7CB7"/>
    <w:rsid w:val="002D6697"/>
    <w:rsid w:val="002E6A76"/>
    <w:rsid w:val="00305D48"/>
    <w:rsid w:val="00311886"/>
    <w:rsid w:val="00313BCC"/>
    <w:rsid w:val="00313CD9"/>
    <w:rsid w:val="003209FF"/>
    <w:rsid w:val="00321C75"/>
    <w:rsid w:val="00343904"/>
    <w:rsid w:val="00350794"/>
    <w:rsid w:val="00353B45"/>
    <w:rsid w:val="0036702D"/>
    <w:rsid w:val="00367FD9"/>
    <w:rsid w:val="003767F6"/>
    <w:rsid w:val="003775E4"/>
    <w:rsid w:val="00385730"/>
    <w:rsid w:val="003A37AD"/>
    <w:rsid w:val="003C2963"/>
    <w:rsid w:val="003C7A38"/>
    <w:rsid w:val="003D6805"/>
    <w:rsid w:val="003F31C2"/>
    <w:rsid w:val="00400C38"/>
    <w:rsid w:val="00403D14"/>
    <w:rsid w:val="0041092E"/>
    <w:rsid w:val="00415976"/>
    <w:rsid w:val="00416080"/>
    <w:rsid w:val="0042217C"/>
    <w:rsid w:val="00436C74"/>
    <w:rsid w:val="00455580"/>
    <w:rsid w:val="004566DC"/>
    <w:rsid w:val="00457AE2"/>
    <w:rsid w:val="004604E2"/>
    <w:rsid w:val="004637C4"/>
    <w:rsid w:val="00463A20"/>
    <w:rsid w:val="00466C2C"/>
    <w:rsid w:val="004742EC"/>
    <w:rsid w:val="0048494C"/>
    <w:rsid w:val="00485270"/>
    <w:rsid w:val="00486CA5"/>
    <w:rsid w:val="004924A9"/>
    <w:rsid w:val="00494822"/>
    <w:rsid w:val="004A2A31"/>
    <w:rsid w:val="004A559C"/>
    <w:rsid w:val="004A6195"/>
    <w:rsid w:val="004B2B3B"/>
    <w:rsid w:val="004B3CFA"/>
    <w:rsid w:val="004B59F4"/>
    <w:rsid w:val="004B68D2"/>
    <w:rsid w:val="004C0984"/>
    <w:rsid w:val="004E51E7"/>
    <w:rsid w:val="00510C39"/>
    <w:rsid w:val="005123CB"/>
    <w:rsid w:val="0051555F"/>
    <w:rsid w:val="00516553"/>
    <w:rsid w:val="00533C57"/>
    <w:rsid w:val="00540668"/>
    <w:rsid w:val="005462A2"/>
    <w:rsid w:val="00552F70"/>
    <w:rsid w:val="0058225B"/>
    <w:rsid w:val="005A0E18"/>
    <w:rsid w:val="005A2218"/>
    <w:rsid w:val="005A283B"/>
    <w:rsid w:val="005B395F"/>
    <w:rsid w:val="005C574F"/>
    <w:rsid w:val="005C7BA3"/>
    <w:rsid w:val="005D65D3"/>
    <w:rsid w:val="005E38C4"/>
    <w:rsid w:val="005F46C1"/>
    <w:rsid w:val="00604F36"/>
    <w:rsid w:val="00612F7B"/>
    <w:rsid w:val="00615E9F"/>
    <w:rsid w:val="006221BD"/>
    <w:rsid w:val="006237F0"/>
    <w:rsid w:val="006314ED"/>
    <w:rsid w:val="00640B67"/>
    <w:rsid w:val="00645E64"/>
    <w:rsid w:val="00653107"/>
    <w:rsid w:val="00653641"/>
    <w:rsid w:val="00655240"/>
    <w:rsid w:val="00655D8D"/>
    <w:rsid w:val="0066166D"/>
    <w:rsid w:val="0066323D"/>
    <w:rsid w:val="00663CF2"/>
    <w:rsid w:val="00664DFD"/>
    <w:rsid w:val="006675F1"/>
    <w:rsid w:val="006709A3"/>
    <w:rsid w:val="00675E8A"/>
    <w:rsid w:val="00676DDD"/>
    <w:rsid w:val="00684080"/>
    <w:rsid w:val="00696FA6"/>
    <w:rsid w:val="006C7D81"/>
    <w:rsid w:val="006E0192"/>
    <w:rsid w:val="006E320C"/>
    <w:rsid w:val="006E4D11"/>
    <w:rsid w:val="006E7E80"/>
    <w:rsid w:val="006F13D5"/>
    <w:rsid w:val="00711B59"/>
    <w:rsid w:val="0076172E"/>
    <w:rsid w:val="0076331D"/>
    <w:rsid w:val="00772FE9"/>
    <w:rsid w:val="007A3227"/>
    <w:rsid w:val="007B2385"/>
    <w:rsid w:val="007B43C1"/>
    <w:rsid w:val="007C7B08"/>
    <w:rsid w:val="007F06B5"/>
    <w:rsid w:val="0080004C"/>
    <w:rsid w:val="00814D66"/>
    <w:rsid w:val="00816BDA"/>
    <w:rsid w:val="00823B48"/>
    <w:rsid w:val="00831635"/>
    <w:rsid w:val="00840577"/>
    <w:rsid w:val="00842477"/>
    <w:rsid w:val="008473DD"/>
    <w:rsid w:val="00852E36"/>
    <w:rsid w:val="00865FB6"/>
    <w:rsid w:val="00881275"/>
    <w:rsid w:val="008818D0"/>
    <w:rsid w:val="00887292"/>
    <w:rsid w:val="008962C9"/>
    <w:rsid w:val="008A13C4"/>
    <w:rsid w:val="008A1E24"/>
    <w:rsid w:val="008A205E"/>
    <w:rsid w:val="008A48D4"/>
    <w:rsid w:val="008A5D20"/>
    <w:rsid w:val="008A6B24"/>
    <w:rsid w:val="008B1CA4"/>
    <w:rsid w:val="008D2060"/>
    <w:rsid w:val="008D5785"/>
    <w:rsid w:val="008D7B98"/>
    <w:rsid w:val="008E04FB"/>
    <w:rsid w:val="0090147B"/>
    <w:rsid w:val="00921EC3"/>
    <w:rsid w:val="009252DE"/>
    <w:rsid w:val="00930B0F"/>
    <w:rsid w:val="00940674"/>
    <w:rsid w:val="0094672B"/>
    <w:rsid w:val="00973606"/>
    <w:rsid w:val="00991DCE"/>
    <w:rsid w:val="009978E0"/>
    <w:rsid w:val="00997910"/>
    <w:rsid w:val="009B19FF"/>
    <w:rsid w:val="009B2969"/>
    <w:rsid w:val="009D57CB"/>
    <w:rsid w:val="009D689D"/>
    <w:rsid w:val="00A03CDA"/>
    <w:rsid w:val="00A33EBC"/>
    <w:rsid w:val="00A41FA1"/>
    <w:rsid w:val="00A42DCB"/>
    <w:rsid w:val="00A42EAC"/>
    <w:rsid w:val="00A452F8"/>
    <w:rsid w:val="00A45656"/>
    <w:rsid w:val="00A47B37"/>
    <w:rsid w:val="00A53FE1"/>
    <w:rsid w:val="00A561D5"/>
    <w:rsid w:val="00A56B88"/>
    <w:rsid w:val="00A57256"/>
    <w:rsid w:val="00A6218F"/>
    <w:rsid w:val="00A87DA4"/>
    <w:rsid w:val="00A920E2"/>
    <w:rsid w:val="00A93D32"/>
    <w:rsid w:val="00A96F8D"/>
    <w:rsid w:val="00AA2E5F"/>
    <w:rsid w:val="00AB3318"/>
    <w:rsid w:val="00AB37EF"/>
    <w:rsid w:val="00AC6ADE"/>
    <w:rsid w:val="00AF1C1A"/>
    <w:rsid w:val="00B02E5C"/>
    <w:rsid w:val="00B21CD3"/>
    <w:rsid w:val="00B3664E"/>
    <w:rsid w:val="00B4578E"/>
    <w:rsid w:val="00B53332"/>
    <w:rsid w:val="00B71CCD"/>
    <w:rsid w:val="00B82398"/>
    <w:rsid w:val="00B83AD8"/>
    <w:rsid w:val="00B853DD"/>
    <w:rsid w:val="00B94682"/>
    <w:rsid w:val="00BA5095"/>
    <w:rsid w:val="00BA5360"/>
    <w:rsid w:val="00BA71CC"/>
    <w:rsid w:val="00BA73E0"/>
    <w:rsid w:val="00BA7C94"/>
    <w:rsid w:val="00BB6515"/>
    <w:rsid w:val="00BC18C1"/>
    <w:rsid w:val="00BD24D4"/>
    <w:rsid w:val="00BF15F4"/>
    <w:rsid w:val="00BF3021"/>
    <w:rsid w:val="00BF7B23"/>
    <w:rsid w:val="00C16EAC"/>
    <w:rsid w:val="00C20664"/>
    <w:rsid w:val="00C22917"/>
    <w:rsid w:val="00C35921"/>
    <w:rsid w:val="00C45CDE"/>
    <w:rsid w:val="00C51AB1"/>
    <w:rsid w:val="00C51C71"/>
    <w:rsid w:val="00C53522"/>
    <w:rsid w:val="00C54A56"/>
    <w:rsid w:val="00C61E5B"/>
    <w:rsid w:val="00C63B01"/>
    <w:rsid w:val="00C806B6"/>
    <w:rsid w:val="00C9014B"/>
    <w:rsid w:val="00C96262"/>
    <w:rsid w:val="00CA10D2"/>
    <w:rsid w:val="00CB4CA9"/>
    <w:rsid w:val="00CB7028"/>
    <w:rsid w:val="00CC35CF"/>
    <w:rsid w:val="00CC4C8E"/>
    <w:rsid w:val="00CC52B7"/>
    <w:rsid w:val="00CC7365"/>
    <w:rsid w:val="00CD40A0"/>
    <w:rsid w:val="00CE1D6E"/>
    <w:rsid w:val="00CF4D55"/>
    <w:rsid w:val="00CF604D"/>
    <w:rsid w:val="00D01D5C"/>
    <w:rsid w:val="00D01D99"/>
    <w:rsid w:val="00D06641"/>
    <w:rsid w:val="00D115AF"/>
    <w:rsid w:val="00D16769"/>
    <w:rsid w:val="00D26F92"/>
    <w:rsid w:val="00D41211"/>
    <w:rsid w:val="00D43AA6"/>
    <w:rsid w:val="00D45A75"/>
    <w:rsid w:val="00D46DA2"/>
    <w:rsid w:val="00D57023"/>
    <w:rsid w:val="00D650AC"/>
    <w:rsid w:val="00D71EB9"/>
    <w:rsid w:val="00D85A92"/>
    <w:rsid w:val="00D85CD0"/>
    <w:rsid w:val="00DA2099"/>
    <w:rsid w:val="00DA36A7"/>
    <w:rsid w:val="00DC0899"/>
    <w:rsid w:val="00DE6490"/>
    <w:rsid w:val="00DF2789"/>
    <w:rsid w:val="00DF2B87"/>
    <w:rsid w:val="00DF325E"/>
    <w:rsid w:val="00DF541A"/>
    <w:rsid w:val="00E16B00"/>
    <w:rsid w:val="00E25B95"/>
    <w:rsid w:val="00E4080F"/>
    <w:rsid w:val="00E475E0"/>
    <w:rsid w:val="00E535A4"/>
    <w:rsid w:val="00E574BB"/>
    <w:rsid w:val="00E60A05"/>
    <w:rsid w:val="00E65CCF"/>
    <w:rsid w:val="00E76C22"/>
    <w:rsid w:val="00E853D5"/>
    <w:rsid w:val="00E97AE5"/>
    <w:rsid w:val="00EA2468"/>
    <w:rsid w:val="00EA2677"/>
    <w:rsid w:val="00EA3AD0"/>
    <w:rsid w:val="00EA6981"/>
    <w:rsid w:val="00EB01FE"/>
    <w:rsid w:val="00EB5270"/>
    <w:rsid w:val="00EB753D"/>
    <w:rsid w:val="00EC3494"/>
    <w:rsid w:val="00ED0A3B"/>
    <w:rsid w:val="00ED17D3"/>
    <w:rsid w:val="00ED6312"/>
    <w:rsid w:val="00EE5991"/>
    <w:rsid w:val="00EF4132"/>
    <w:rsid w:val="00EF6EBB"/>
    <w:rsid w:val="00F01DE7"/>
    <w:rsid w:val="00F172A3"/>
    <w:rsid w:val="00F249AE"/>
    <w:rsid w:val="00F32E0C"/>
    <w:rsid w:val="00F34BC3"/>
    <w:rsid w:val="00F41E11"/>
    <w:rsid w:val="00F4292C"/>
    <w:rsid w:val="00F5565C"/>
    <w:rsid w:val="00F61F22"/>
    <w:rsid w:val="00F96E6D"/>
    <w:rsid w:val="00FB4970"/>
    <w:rsid w:val="00FC423D"/>
    <w:rsid w:val="00FD2FD9"/>
    <w:rsid w:val="00FD75CE"/>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4B13"/>
  <w15:docId w15:val="{A53F4FB5-CD10-49F0-B086-1FD045FD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305D48"/>
    <w:pPr>
      <w:widowControl w:val="0"/>
      <w:suppressAutoHyphens/>
      <w:autoSpaceDE w:val="0"/>
      <w:autoSpaceDN w:val="0"/>
      <w:adjustRightInd w:val="0"/>
      <w:spacing w:before="120" w:after="0"/>
      <w:ind w:right="842"/>
      <w:jc w:val="both"/>
      <w:textAlignment w:val="center"/>
      <w:outlineLvl w:val="0"/>
    </w:pPr>
    <w:rPr>
      <w:rFonts w:asciiTheme="majorHAnsi" w:hAnsiTheme="majorHAnsi" w:cs="Arial"/>
      <w:bCs/>
      <w:noProof/>
      <w:color w:val="002664" w:themeColor="accent1"/>
      <w:sz w:val="40"/>
      <w:szCs w:val="40"/>
    </w:rPr>
  </w:style>
  <w:style w:type="paragraph" w:styleId="Heading2">
    <w:name w:val="heading 2"/>
    <w:basedOn w:val="Normal"/>
    <w:next w:val="Normal"/>
    <w:link w:val="Heading2Char"/>
    <w:autoRedefine/>
    <w:qFormat/>
    <w:rsid w:val="00516553"/>
    <w:pPr>
      <w:widowControl w:val="0"/>
      <w:suppressAutoHyphens/>
      <w:autoSpaceDE w:val="0"/>
      <w:autoSpaceDN w:val="0"/>
      <w:adjustRightInd w:val="0"/>
      <w:spacing w:before="120" w:after="0"/>
      <w:ind w:right="842"/>
      <w:jc w:val="both"/>
      <w:textAlignment w:val="center"/>
      <w:outlineLvl w:val="1"/>
    </w:pPr>
    <w:rPr>
      <w:rFonts w:ascii="Arial" w:hAnsi="Arial" w:cs="Arial"/>
      <w:b/>
      <w:color w:val="002664" w:themeColor="accent1"/>
      <w:sz w:val="28"/>
      <w:szCs w:val="28"/>
      <w:lang w:val="en-GB"/>
    </w:rPr>
  </w:style>
  <w:style w:type="paragraph" w:styleId="Heading3">
    <w:name w:val="heading 3"/>
    <w:basedOn w:val="Normal"/>
    <w:next w:val="Normal"/>
    <w:link w:val="Heading3Char"/>
    <w:autoRedefine/>
    <w:qFormat/>
    <w:rsid w:val="00FD2FD9"/>
    <w:pPr>
      <w:keepNext/>
      <w:keepLines/>
      <w:spacing w:before="240" w:after="120"/>
      <w:ind w:right="118"/>
      <w:outlineLvl w:val="2"/>
    </w:pPr>
    <w:rPr>
      <w:rFonts w:ascii="Public Sans SemiBold" w:eastAsia="Times New Roman" w:hAnsi="Public Sans SemiBold"/>
      <w:b/>
      <w:bCs/>
      <w:color w:val="002664" w:themeColor="background2"/>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semiHidden/>
    <w:unhideWhenUsed/>
    <w:rsid w:val="00DF541A"/>
    <w:pPr>
      <w:keepNext/>
      <w:keepLines/>
      <w:spacing w:before="40" w:after="0"/>
      <w:outlineLvl w:val="7"/>
    </w:pPr>
    <w:rPr>
      <w:rFonts w:asciiTheme="majorHAnsi" w:eastAsiaTheme="majorEastAsia" w:hAnsiTheme="majorHAnsi" w:cstheme="majorBidi"/>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D48"/>
    <w:rPr>
      <w:rFonts w:asciiTheme="majorHAnsi" w:eastAsiaTheme="minorEastAsia" w:hAnsiTheme="majorHAnsi" w:cs="Arial"/>
      <w:bCs/>
      <w:noProof/>
      <w:color w:val="002664" w:themeColor="accent1"/>
      <w:sz w:val="40"/>
      <w:szCs w:val="40"/>
    </w:rPr>
  </w:style>
  <w:style w:type="character" w:customStyle="1" w:styleId="Heading2Char">
    <w:name w:val="Heading 2 Char"/>
    <w:basedOn w:val="DefaultParagraphFont"/>
    <w:link w:val="Heading2"/>
    <w:rsid w:val="00516553"/>
    <w:rPr>
      <w:rFonts w:eastAsiaTheme="minorEastAsia" w:cs="Arial"/>
      <w:b/>
      <w:color w:val="002664" w:themeColor="accent1"/>
      <w:sz w:val="28"/>
      <w:szCs w:val="28"/>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E16B00"/>
    <w:pPr>
      <w:tabs>
        <w:tab w:val="center" w:pos="4513"/>
        <w:tab w:val="right" w:pos="9026"/>
      </w:tabs>
      <w:spacing w:after="0"/>
    </w:pPr>
  </w:style>
  <w:style w:type="character" w:customStyle="1" w:styleId="HeaderChar">
    <w:name w:val="Header Char"/>
    <w:basedOn w:val="DefaultParagraphFont"/>
    <w:link w:val="Header"/>
    <w:uiPriority w:val="99"/>
    <w:rsid w:val="00E16B00"/>
    <w:rPr>
      <w:rFonts w:eastAsiaTheme="minorEastAsia"/>
      <w:color w:val="22272B" w:themeColor="text1"/>
      <w:sz w:val="22"/>
    </w:rPr>
  </w:style>
  <w:style w:type="paragraph" w:styleId="Footer">
    <w:name w:val="footer"/>
    <w:basedOn w:val="Normal"/>
    <w:link w:val="FooterChar"/>
    <w:autoRedefine/>
    <w:uiPriority w:val="99"/>
    <w:unhideWhenUsed/>
    <w:rsid w:val="00653641"/>
    <w:pPr>
      <w:tabs>
        <w:tab w:val="left" w:pos="6804"/>
      </w:tabs>
      <w:spacing w:before="120"/>
      <w:ind w:right="118"/>
    </w:pPr>
    <w:rPr>
      <w:rFonts w:ascii="Public Sans" w:hAnsi="Public Sans"/>
      <w:sz w:val="18"/>
      <w:szCs w:val="18"/>
    </w:rPr>
  </w:style>
  <w:style w:type="character" w:customStyle="1" w:styleId="FooterChar">
    <w:name w:val="Footer Char"/>
    <w:basedOn w:val="DefaultParagraphFont"/>
    <w:link w:val="Footer"/>
    <w:uiPriority w:val="99"/>
    <w:rsid w:val="00653641"/>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655D8D"/>
    <w:pPr>
      <w:framePr w:hSpace="180" w:wrap="around" w:vAnchor="text" w:hAnchor="text" w:x="-5" w:y="1"/>
      <w:numPr>
        <w:numId w:val="41"/>
      </w:numPr>
      <w:pBdr>
        <w:top w:val="nil"/>
        <w:left w:val="nil"/>
        <w:bottom w:val="nil"/>
        <w:right w:val="nil"/>
        <w:between w:val="nil"/>
        <w:bar w:val="nil"/>
      </w:pBdr>
      <w:spacing w:after="0"/>
      <w:suppressOverlap/>
      <w:jc w:val="both"/>
    </w:pPr>
    <w:rPr>
      <w:rFonts w:cs="Arial"/>
      <w:szCs w:val="20"/>
    </w:rPr>
  </w:style>
  <w:style w:type="character" w:customStyle="1" w:styleId="BodyTextChar">
    <w:name w:val="Body Text Char"/>
    <w:basedOn w:val="DefaultParagraphFont"/>
    <w:link w:val="BodyText"/>
    <w:rsid w:val="00655D8D"/>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16B00"/>
    <w:pPr>
      <w:framePr w:wrap="around"/>
      <w:numPr>
        <w:numId w:val="6"/>
      </w:numPr>
    </w:pPr>
  </w:style>
  <w:style w:type="paragraph" w:customStyle="1" w:styleId="Bullet2">
    <w:name w:val="Bullet 2"/>
    <w:basedOn w:val="Normal"/>
    <w:qFormat/>
    <w:rsid w:val="00087332"/>
    <w:pPr>
      <w:numPr>
        <w:numId w:val="8"/>
      </w:numPr>
      <w:spacing w:before="120" w:after="120"/>
    </w:pPr>
    <w:rPr>
      <w:rFonts w:cs="ArialMT"/>
      <w:color w:val="000000"/>
    </w:rPr>
  </w:style>
  <w:style w:type="character" w:customStyle="1" w:styleId="Heading3Char">
    <w:name w:val="Heading 3 Char"/>
    <w:basedOn w:val="DefaultParagraphFont"/>
    <w:link w:val="Heading3"/>
    <w:rsid w:val="00FD2FD9"/>
    <w:rPr>
      <w:rFonts w:ascii="Public Sans SemiBold" w:eastAsia="Times New Roman" w:hAnsi="Public Sans SemiBold"/>
      <w:b/>
      <w:bCs/>
      <w:color w:val="002664" w:themeColor="background2"/>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18"/>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921EC3"/>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17"/>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1 Bullet,DotPoints,standard lewis,Body text,Body Text Numbered,CDHP List Paragraph,List Paragraph11,List Paragraph111,L,F5 List Paragraph,Dot pt,CV text,Table text,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10"/>
    <w:qFormat/>
    <w:rsid w:val="00B94682"/>
    <w:pPr>
      <w:numPr>
        <w:numId w:val="32"/>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customStyle="1" w:styleId="ListParagraphChar">
    <w:name w:val="List Paragraph Char"/>
    <w:aliases w:val="Recommendation Char,List Paragraph1 Char,1 Bullet Char,DotPoints Char,standard lewis Char,Body text Char,Body Text Numbered Char,CDHP List Paragraph Char,List Paragraph11 Char,List Paragraph111 Char,L Char,F5 List Paragraph Char"/>
    <w:link w:val="ListParagraph"/>
    <w:uiPriority w:val="34"/>
    <w:qFormat/>
    <w:locked/>
    <w:rsid w:val="00B82398"/>
    <w:rPr>
      <w:rFonts w:asciiTheme="minorHAnsi" w:eastAsiaTheme="minorEastAsia" w:hAnsiTheme="minorHAnsi"/>
      <w:color w:val="22272B" w:themeColor="text1"/>
      <w:sz w:val="22"/>
    </w:rPr>
  </w:style>
  <w:style w:type="character" w:styleId="CommentReference">
    <w:name w:val="annotation reference"/>
    <w:basedOn w:val="DefaultParagraphFont"/>
    <w:uiPriority w:val="99"/>
    <w:semiHidden/>
    <w:unhideWhenUsed/>
    <w:rsid w:val="00B82398"/>
    <w:rPr>
      <w:sz w:val="16"/>
      <w:szCs w:val="16"/>
    </w:rPr>
  </w:style>
  <w:style w:type="paragraph" w:styleId="CommentText">
    <w:name w:val="annotation text"/>
    <w:basedOn w:val="Normal"/>
    <w:link w:val="CommentTextChar"/>
    <w:uiPriority w:val="99"/>
    <w:unhideWhenUsed/>
    <w:rsid w:val="00B82398"/>
    <w:pPr>
      <w:spacing w:after="160"/>
    </w:pPr>
    <w:rPr>
      <w:rFonts w:eastAsiaTheme="minorHAnsi" w:cstheme="minorBidi"/>
      <w:color w:val="auto"/>
      <w:sz w:val="20"/>
      <w:szCs w:val="20"/>
      <w:lang w:eastAsia="en-AU"/>
    </w:rPr>
  </w:style>
  <w:style w:type="character" w:customStyle="1" w:styleId="CommentTextChar">
    <w:name w:val="Comment Text Char"/>
    <w:basedOn w:val="DefaultParagraphFont"/>
    <w:link w:val="CommentText"/>
    <w:uiPriority w:val="99"/>
    <w:rsid w:val="00B82398"/>
    <w:rPr>
      <w:rFonts w:asciiTheme="minorHAnsi" w:eastAsiaTheme="minorHAnsi" w:hAnsiTheme="minorHAnsi" w:cstheme="minorBidi"/>
      <w:sz w:val="20"/>
      <w:szCs w:val="20"/>
      <w:lang w:eastAsia="en-AU"/>
    </w:rPr>
  </w:style>
  <w:style w:type="paragraph" w:styleId="BalloonText">
    <w:name w:val="Balloon Text"/>
    <w:basedOn w:val="Normal"/>
    <w:link w:val="BalloonTextChar"/>
    <w:semiHidden/>
    <w:unhideWhenUsed/>
    <w:rsid w:val="00B8239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82398"/>
    <w:rPr>
      <w:rFonts w:ascii="Segoe UI" w:eastAsiaTheme="minorEastAsia" w:hAnsi="Segoe UI" w:cs="Segoe UI"/>
      <w:color w:val="22272B" w:themeColor="text1"/>
      <w:sz w:val="18"/>
      <w:szCs w:val="18"/>
    </w:rPr>
  </w:style>
  <w:style w:type="character" w:customStyle="1" w:styleId="Logo">
    <w:name w:val="Logo"/>
    <w:basedOn w:val="DefaultParagraphFont"/>
    <w:uiPriority w:val="1"/>
    <w:rsid w:val="00175B3B"/>
    <w:rPr>
      <w:noProof/>
      <w:position w:val="-86"/>
    </w:rPr>
  </w:style>
  <w:style w:type="paragraph" w:styleId="BodyText3">
    <w:name w:val="Body Text 3"/>
    <w:basedOn w:val="Normal"/>
    <w:link w:val="BodyText3Char"/>
    <w:semiHidden/>
    <w:unhideWhenUsed/>
    <w:rsid w:val="00D26F92"/>
    <w:pPr>
      <w:spacing w:after="120"/>
    </w:pPr>
    <w:rPr>
      <w:sz w:val="16"/>
      <w:szCs w:val="16"/>
    </w:rPr>
  </w:style>
  <w:style w:type="character" w:customStyle="1" w:styleId="BodyText3Char">
    <w:name w:val="Body Text 3 Char"/>
    <w:basedOn w:val="DefaultParagraphFont"/>
    <w:link w:val="BodyText3"/>
    <w:semiHidden/>
    <w:rsid w:val="00D26F92"/>
    <w:rPr>
      <w:rFonts w:asciiTheme="minorHAnsi" w:eastAsiaTheme="minorEastAsia" w:hAnsiTheme="minorHAnsi"/>
      <w:color w:val="22272B" w:themeColor="text1"/>
      <w:sz w:val="16"/>
      <w:szCs w:val="16"/>
    </w:rPr>
  </w:style>
  <w:style w:type="paragraph" w:customStyle="1" w:styleId="Default">
    <w:name w:val="Default"/>
    <w:rsid w:val="00D26F92"/>
    <w:pPr>
      <w:autoSpaceDE w:val="0"/>
      <w:autoSpaceDN w:val="0"/>
      <w:adjustRightInd w:val="0"/>
    </w:pPr>
    <w:rPr>
      <w:rFonts w:ascii="Times New Roman" w:eastAsiaTheme="minorHAnsi" w:hAnsi="Times New Roman"/>
      <w:color w:val="000000"/>
    </w:rPr>
  </w:style>
  <w:style w:type="paragraph" w:styleId="CommentSubject">
    <w:name w:val="annotation subject"/>
    <w:basedOn w:val="CommentText"/>
    <w:next w:val="CommentText"/>
    <w:link w:val="CommentSubjectChar"/>
    <w:semiHidden/>
    <w:unhideWhenUsed/>
    <w:rsid w:val="00D01D5C"/>
    <w:pPr>
      <w:spacing w:after="180"/>
    </w:pPr>
    <w:rPr>
      <w:rFonts w:eastAsiaTheme="minorEastAsia" w:cs="Times New Roman"/>
      <w:b/>
      <w:bCs/>
      <w:color w:val="22272B" w:themeColor="text1"/>
      <w:lang w:eastAsia="en-US"/>
    </w:rPr>
  </w:style>
  <w:style w:type="character" w:customStyle="1" w:styleId="CommentSubjectChar">
    <w:name w:val="Comment Subject Char"/>
    <w:basedOn w:val="CommentTextChar"/>
    <w:link w:val="CommentSubject"/>
    <w:semiHidden/>
    <w:rsid w:val="00D01D5C"/>
    <w:rPr>
      <w:rFonts w:asciiTheme="minorHAnsi" w:eastAsiaTheme="minorEastAsia" w:hAnsiTheme="minorHAnsi" w:cstheme="minorBidi"/>
      <w:b/>
      <w:bCs/>
      <w:color w:val="22272B" w:themeColor="text1"/>
      <w:sz w:val="20"/>
      <w:szCs w:val="20"/>
      <w:lang w:eastAsia="en-AU"/>
    </w:rPr>
  </w:style>
  <w:style w:type="character" w:customStyle="1" w:styleId="Heading8Char">
    <w:name w:val="Heading 8 Char"/>
    <w:basedOn w:val="DefaultParagraphFont"/>
    <w:link w:val="Heading8"/>
    <w:semiHidden/>
    <w:rsid w:val="00DF541A"/>
    <w:rPr>
      <w:rFonts w:asciiTheme="majorHAnsi" w:eastAsiaTheme="majorEastAsia" w:hAnsiTheme="majorHAnsi" w:cstheme="majorBidi"/>
      <w:color w:val="3F484F" w:themeColor="text1" w:themeTint="D8"/>
      <w:sz w:val="21"/>
      <w:szCs w:val="21"/>
    </w:rPr>
  </w:style>
  <w:style w:type="paragraph" w:styleId="Revision">
    <w:name w:val="Revision"/>
    <w:hidden/>
    <w:semiHidden/>
    <w:rsid w:val="00EB753D"/>
    <w:rPr>
      <w:rFonts w:asciiTheme="minorHAnsi" w:eastAsiaTheme="minorEastAsia" w:hAnsiTheme="minorHAnsi"/>
      <w:color w:val="22272B" w:themeColor="text1"/>
      <w:sz w:val="22"/>
    </w:rPr>
  </w:style>
  <w:style w:type="character" w:styleId="UnresolvedMention">
    <w:name w:val="Unresolved Mention"/>
    <w:basedOn w:val="DefaultParagraphFont"/>
    <w:uiPriority w:val="99"/>
    <w:semiHidden/>
    <w:unhideWhenUsed/>
    <w:rsid w:val="0030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881">
      <w:bodyDiv w:val="1"/>
      <w:marLeft w:val="0"/>
      <w:marRight w:val="0"/>
      <w:marTop w:val="0"/>
      <w:marBottom w:val="0"/>
      <w:divBdr>
        <w:top w:val="none" w:sz="0" w:space="0" w:color="auto"/>
        <w:left w:val="none" w:sz="0" w:space="0" w:color="auto"/>
        <w:bottom w:val="none" w:sz="0" w:space="0" w:color="auto"/>
        <w:right w:val="none" w:sz="0" w:space="0" w:color="auto"/>
      </w:divBdr>
    </w:div>
    <w:div w:id="1532258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U-triageandemergencycarearrangements@dcj.nsw.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DELJ\AppData\Local\Temp\4\wzf394\DCJ%20Microsoft%20Word%20Templates\DCJ%20Factsheet%20Template.dotx" TargetMode="Externa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11799-D392-4A52-9425-D578B219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DCJ Factsheet Template</Template>
  <TotalTime>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6704</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Joanne Fadel</dc:creator>
  <cp:keywords>NSW Government, factsheet,</cp:keywords>
  <dc:description/>
  <cp:lastModifiedBy>Carolina Saez</cp:lastModifiedBy>
  <cp:revision>2</cp:revision>
  <cp:lastPrinted>2022-04-12T01:35:00Z</cp:lastPrinted>
  <dcterms:created xsi:type="dcterms:W3CDTF">2023-12-18T05:21:00Z</dcterms:created>
  <dcterms:modified xsi:type="dcterms:W3CDTF">2023-12-18T05:21:00Z</dcterms:modified>
  <cp:category/>
</cp:coreProperties>
</file>